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F8" w:rsidRPr="00AB0A26" w:rsidRDefault="00C353F8" w:rsidP="00C353F8">
      <w:pPr>
        <w:pStyle w:val="NormalWeb"/>
        <w:jc w:val="both"/>
        <w:rPr>
          <w:rFonts w:ascii="Calibri" w:hAnsi="Calibri" w:cs="Arial"/>
          <w:bCs/>
          <w:iCs/>
          <w:color w:val="595959" w:themeColor="text1" w:themeTint="A6"/>
          <w:sz w:val="26"/>
          <w:szCs w:val="26"/>
        </w:rPr>
      </w:pPr>
      <w:r w:rsidRPr="00AB0A26">
        <w:rPr>
          <w:rFonts w:ascii="Calibri" w:hAnsi="Calibri" w:cs="Arial"/>
          <w:b/>
          <w:bCs/>
          <w:i/>
          <w:iCs/>
          <w:color w:val="595959" w:themeColor="text1" w:themeTint="A6"/>
          <w:sz w:val="26"/>
          <w:szCs w:val="26"/>
        </w:rPr>
        <w:tab/>
        <w:t xml:space="preserve">León, Guanajuato, a 10 diez de febrero del año 2015 dos mil quince. . . . . </w:t>
      </w:r>
      <w:r w:rsidRPr="00AB0A26">
        <w:rPr>
          <w:rFonts w:ascii="Calibri" w:hAnsi="Calibri" w:cs="Arial"/>
          <w:bCs/>
          <w:iCs/>
          <w:color w:val="595959" w:themeColor="text1" w:themeTint="A6"/>
          <w:sz w:val="26"/>
          <w:szCs w:val="26"/>
        </w:rPr>
        <w:t xml:space="preserve">  </w:t>
      </w:r>
    </w:p>
    <w:p w:rsidR="00C353F8" w:rsidRPr="00AB0A26" w:rsidRDefault="00C353F8" w:rsidP="00C353F8">
      <w:pPr>
        <w:pStyle w:val="NormalWeb"/>
        <w:ind w:firstLine="708"/>
        <w:jc w:val="both"/>
        <w:rPr>
          <w:rFonts w:ascii="Calibri" w:hAnsi="Calibri" w:cs="Arial"/>
          <w:color w:val="595959" w:themeColor="text1" w:themeTint="A6"/>
          <w:sz w:val="26"/>
          <w:szCs w:val="26"/>
        </w:rPr>
      </w:pPr>
      <w:r w:rsidRPr="00AB0A26">
        <w:rPr>
          <w:rFonts w:ascii="Calibri" w:hAnsi="Calibri" w:cs="Arial"/>
          <w:b/>
          <w:i/>
          <w:iCs/>
          <w:color w:val="595959" w:themeColor="text1" w:themeTint="A6"/>
          <w:sz w:val="26"/>
          <w:szCs w:val="26"/>
        </w:rPr>
        <w:t xml:space="preserve">V I S T O S </w:t>
      </w:r>
      <w:r w:rsidRPr="00AB0A26">
        <w:rPr>
          <w:rFonts w:ascii="Calibri" w:hAnsi="Calibri" w:cs="Arial"/>
          <w:color w:val="595959" w:themeColor="text1" w:themeTint="A6"/>
          <w:sz w:val="26"/>
          <w:szCs w:val="26"/>
        </w:rPr>
        <w:t xml:space="preserve">para dictar sentencia definitiva, los autos del proceso administrativo identificado con el expediente número </w:t>
      </w:r>
      <w:bookmarkStart w:id="0" w:name="_GoBack"/>
      <w:r w:rsidRPr="00AB0A26">
        <w:rPr>
          <w:rFonts w:ascii="Calibri" w:hAnsi="Calibri" w:cs="Arial"/>
          <w:b/>
          <w:color w:val="595959" w:themeColor="text1" w:themeTint="A6"/>
          <w:sz w:val="26"/>
          <w:szCs w:val="26"/>
        </w:rPr>
        <w:t>644</w:t>
      </w:r>
      <w:r w:rsidRPr="00AB0A26">
        <w:rPr>
          <w:rFonts w:ascii="Calibri" w:hAnsi="Calibri" w:cs="Arial"/>
          <w:b/>
          <w:bCs/>
          <w:iCs/>
          <w:color w:val="595959" w:themeColor="text1" w:themeTint="A6"/>
          <w:sz w:val="26"/>
          <w:szCs w:val="26"/>
        </w:rPr>
        <w:t>/2014</w:t>
      </w:r>
      <w:r w:rsidRPr="00AB0A26">
        <w:rPr>
          <w:rFonts w:ascii="Calibri" w:hAnsi="Calibri" w:cs="Arial"/>
          <w:b/>
          <w:color w:val="595959" w:themeColor="text1" w:themeTint="A6"/>
          <w:sz w:val="26"/>
          <w:szCs w:val="26"/>
        </w:rPr>
        <w:t>-JN</w:t>
      </w:r>
      <w:bookmarkEnd w:id="0"/>
      <w:r w:rsidRPr="00AB0A26">
        <w:rPr>
          <w:rFonts w:ascii="Calibri" w:hAnsi="Calibri" w:cs="Arial"/>
          <w:color w:val="595959" w:themeColor="text1" w:themeTint="A6"/>
          <w:sz w:val="26"/>
          <w:szCs w:val="26"/>
        </w:rPr>
        <w:t xml:space="preserve">, promovido por la ciudadana </w:t>
      </w:r>
      <w:r>
        <w:rPr>
          <w:rFonts w:ascii="Calibri" w:hAnsi="Calibri" w:cs="Arial"/>
          <w:b/>
          <w:color w:val="595959" w:themeColor="text1" w:themeTint="A6"/>
          <w:sz w:val="26"/>
          <w:szCs w:val="26"/>
        </w:rPr>
        <w:t>(.....)</w:t>
      </w:r>
      <w:r w:rsidRPr="00AB0A26">
        <w:rPr>
          <w:rFonts w:ascii="Calibri" w:hAnsi="Calibri" w:cs="Arial"/>
          <w:color w:val="595959" w:themeColor="text1" w:themeTint="A6"/>
          <w:sz w:val="26"/>
          <w:szCs w:val="26"/>
        </w:rPr>
        <w:t xml:space="preserve">, y. . . . . . . . . . . . . . . . . . . . . . . . . . . . . . . . . . . . </w:t>
      </w:r>
    </w:p>
    <w:p w:rsidR="00C353F8" w:rsidRPr="00AB0A26" w:rsidRDefault="00C353F8" w:rsidP="00C353F8">
      <w:pPr>
        <w:pStyle w:val="NormalWeb"/>
        <w:jc w:val="center"/>
        <w:rPr>
          <w:rFonts w:ascii="Calibri" w:hAnsi="Calibri"/>
          <w:b/>
          <w:bCs/>
          <w:i/>
          <w:iCs/>
          <w:color w:val="595959" w:themeColor="text1" w:themeTint="A6"/>
          <w:sz w:val="26"/>
          <w:szCs w:val="26"/>
        </w:rPr>
      </w:pPr>
      <w:r w:rsidRPr="00AB0A26">
        <w:rPr>
          <w:rFonts w:ascii="Calibri" w:hAnsi="Calibri"/>
          <w:b/>
          <w:bCs/>
          <w:i/>
          <w:iCs/>
          <w:color w:val="595959" w:themeColor="text1" w:themeTint="A6"/>
          <w:sz w:val="26"/>
          <w:szCs w:val="26"/>
        </w:rPr>
        <w:t>R E S U L T A N D O :</w:t>
      </w: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i/>
          <w:iCs/>
          <w:color w:val="595959" w:themeColor="text1" w:themeTint="A6"/>
          <w:sz w:val="26"/>
          <w:szCs w:val="26"/>
        </w:rPr>
        <w:t>PRIMERO.-</w:t>
      </w:r>
      <w:r w:rsidRPr="00AB0A26">
        <w:rPr>
          <w:rFonts w:ascii="Calibri" w:hAnsi="Calibri"/>
          <w:color w:val="595959" w:themeColor="text1" w:themeTint="A6"/>
          <w:sz w:val="26"/>
          <w:szCs w:val="26"/>
        </w:rPr>
        <w:t xml:space="preserve"> Mediante escrito de demanda administrativa, presentado el día 3 tres de noviembre del año 2014 dos mil catorce; en la Oficialía Común de Partes de los Juzgados Administrativos de este Municipio, la </w:t>
      </w:r>
      <w:r w:rsidRPr="00AB0A26">
        <w:rPr>
          <w:rFonts w:ascii="Calibri" w:hAnsi="Calibri" w:cs="Arial"/>
          <w:color w:val="595959" w:themeColor="text1" w:themeTint="A6"/>
          <w:sz w:val="26"/>
          <w:szCs w:val="26"/>
        </w:rPr>
        <w:t xml:space="preserve">ciudadana </w:t>
      </w:r>
      <w:r>
        <w:rPr>
          <w:rFonts w:ascii="Calibri" w:hAnsi="Calibri" w:cs="Arial"/>
          <w:color w:val="595959" w:themeColor="text1" w:themeTint="A6"/>
          <w:sz w:val="26"/>
          <w:szCs w:val="26"/>
        </w:rPr>
        <w:t>(.....)</w:t>
      </w:r>
      <w:r w:rsidRPr="00AB0A26">
        <w:rPr>
          <w:rFonts w:ascii="Calibri" w:hAnsi="Calibri" w:cs="Arial"/>
          <w:bCs/>
          <w:color w:val="595959" w:themeColor="text1" w:themeTint="A6"/>
          <w:sz w:val="26"/>
          <w:szCs w:val="26"/>
        </w:rPr>
        <w:t xml:space="preserve">, </w:t>
      </w:r>
      <w:r w:rsidRPr="00AB0A26">
        <w:rPr>
          <w:rFonts w:ascii="Calibri" w:hAnsi="Calibri"/>
          <w:color w:val="595959" w:themeColor="text1" w:themeTint="A6"/>
          <w:sz w:val="26"/>
          <w:szCs w:val="26"/>
        </w:rPr>
        <w:t xml:space="preserve">por su propio derecho, promovió proceso administrativo, en el que señaló como:. . . . . . . . . . . . . . . . . . . . . . . . . . . . . . . . . . . .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color w:val="595959" w:themeColor="text1" w:themeTint="A6"/>
          <w:sz w:val="26"/>
          <w:szCs w:val="26"/>
        </w:rPr>
        <w:t>a).- Actos impugnados</w:t>
      </w:r>
      <w:r w:rsidRPr="00AB0A26">
        <w:rPr>
          <w:rFonts w:ascii="Calibri" w:hAnsi="Calibri"/>
          <w:color w:val="595959" w:themeColor="text1" w:themeTint="A6"/>
          <w:sz w:val="26"/>
          <w:szCs w:val="26"/>
        </w:rPr>
        <w:t xml:space="preserve">: La orden de visita de inspección, de fecha 18 dieciocho de octubre del año 2014 dos mil catorce, emitida dentro del expediente con número DGFC/DT/001654/2014-S/A; el acta de visita de inspección; la orden de clausura; y, el acta circunstanciada de fijación de sellos de clausura de la fecha y número de expediente ya citados.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bCs/>
          <w:color w:val="595959" w:themeColor="text1" w:themeTint="A6"/>
          <w:sz w:val="26"/>
          <w:szCs w:val="26"/>
        </w:rPr>
        <w:t xml:space="preserve">b).- </w:t>
      </w:r>
      <w:r w:rsidRPr="00AB0A26">
        <w:rPr>
          <w:rFonts w:ascii="Calibri" w:hAnsi="Calibri"/>
          <w:b/>
          <w:color w:val="595959" w:themeColor="text1" w:themeTint="A6"/>
          <w:sz w:val="26"/>
          <w:szCs w:val="26"/>
        </w:rPr>
        <w:t>Autoridades Demandadas</w:t>
      </w:r>
      <w:r w:rsidRPr="00AB0A26">
        <w:rPr>
          <w:rFonts w:ascii="Calibri" w:hAnsi="Calibri"/>
          <w:color w:val="595959" w:themeColor="text1" w:themeTint="A6"/>
          <w:sz w:val="26"/>
          <w:szCs w:val="26"/>
        </w:rPr>
        <w:t xml:space="preserve">: El Director General de Fiscalización y Control, Licenciado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y, el inspector adscrito a tal dependencia, de nombre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ind w:firstLine="708"/>
        <w:jc w:val="both"/>
        <w:rPr>
          <w:rFonts w:ascii="Calibri" w:hAnsi="Calibri"/>
          <w:bCs/>
          <w:color w:val="595959" w:themeColor="text1" w:themeTint="A6"/>
          <w:sz w:val="26"/>
          <w:szCs w:val="26"/>
        </w:rPr>
      </w:pPr>
      <w:r w:rsidRPr="00AB0A26">
        <w:rPr>
          <w:rFonts w:ascii="Calibri" w:hAnsi="Calibri"/>
          <w:b/>
          <w:bCs/>
          <w:color w:val="595959" w:themeColor="text1" w:themeTint="A6"/>
          <w:sz w:val="26"/>
          <w:szCs w:val="26"/>
        </w:rPr>
        <w:t>c).-</w:t>
      </w:r>
      <w:r w:rsidRPr="00AB0A26">
        <w:rPr>
          <w:rFonts w:ascii="Calibri" w:hAnsi="Calibri"/>
          <w:b/>
          <w:color w:val="595959" w:themeColor="text1" w:themeTint="A6"/>
          <w:sz w:val="26"/>
          <w:szCs w:val="26"/>
        </w:rPr>
        <w:t xml:space="preserve"> Pretensiones</w:t>
      </w:r>
      <w:r w:rsidRPr="00AB0A26">
        <w:rPr>
          <w:rFonts w:ascii="Calibri" w:hAnsi="Calibri"/>
          <w:bCs/>
          <w:color w:val="595959" w:themeColor="text1" w:themeTint="A6"/>
          <w:sz w:val="26"/>
          <w:szCs w:val="26"/>
        </w:rPr>
        <w:t>: La nulidad total de los actos impugnados; y</w:t>
      </w:r>
      <w:r>
        <w:rPr>
          <w:rFonts w:ascii="Calibri" w:hAnsi="Calibri"/>
          <w:bCs/>
          <w:color w:val="595959" w:themeColor="text1" w:themeTint="A6"/>
          <w:sz w:val="26"/>
          <w:szCs w:val="26"/>
        </w:rPr>
        <w:t>,</w:t>
      </w:r>
      <w:r w:rsidRPr="00AB0A26">
        <w:rPr>
          <w:rFonts w:ascii="Calibri" w:hAnsi="Calibri"/>
          <w:bCs/>
          <w:color w:val="595959" w:themeColor="text1" w:themeTint="A6"/>
          <w:sz w:val="26"/>
          <w:szCs w:val="26"/>
        </w:rPr>
        <w:t xml:space="preserve"> el levantamiento de la clausura y fijación de sellos sobre el mueble ubicado al interior del establecimiento visitado. . . . . . . . . . . . . . . . . . . . . . . . . . . . . . . . . . . . . . </w:t>
      </w:r>
    </w:p>
    <w:p w:rsidR="00C353F8" w:rsidRPr="00AB0A26" w:rsidRDefault="00C353F8" w:rsidP="00C353F8">
      <w:pPr>
        <w:ind w:firstLine="708"/>
        <w:jc w:val="both"/>
        <w:rPr>
          <w:rFonts w:ascii="Calibri" w:hAnsi="Calibri"/>
          <w:b/>
          <w:color w:val="595959" w:themeColor="text1" w:themeTint="A6"/>
          <w:sz w:val="22"/>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i/>
          <w:iCs/>
          <w:color w:val="595959" w:themeColor="text1" w:themeTint="A6"/>
          <w:sz w:val="26"/>
          <w:szCs w:val="26"/>
        </w:rPr>
        <w:t xml:space="preserve">SEGUNDO.- </w:t>
      </w:r>
      <w:r w:rsidRPr="00AB0A26">
        <w:rPr>
          <w:rFonts w:ascii="Calibri" w:hAnsi="Calibri"/>
          <w:bCs/>
          <w:color w:val="595959" w:themeColor="text1" w:themeTint="A6"/>
          <w:sz w:val="26"/>
          <w:szCs w:val="26"/>
        </w:rPr>
        <w:t>Por razón de turno, este Juzgado Segundo Administrativo tuvo conocimiento del presente proceso, por lo que por</w:t>
      </w:r>
      <w:r w:rsidRPr="00AB0A26">
        <w:rPr>
          <w:rFonts w:ascii="Calibri" w:hAnsi="Calibri"/>
          <w:color w:val="595959" w:themeColor="text1" w:themeTint="A6"/>
          <w:sz w:val="26"/>
          <w:szCs w:val="26"/>
        </w:rPr>
        <w:t xml:space="preserve"> auto del día 5 cinco de noviembre del año 2014 dos mil catorce, se admitió a trámite la demanda; teniéndose a la actora por ofrecidas y admitidas las documentales que ofertó en su escrito inicial de demanda; las que se tuvieron por desahogadas desde ese momento, dada su propia naturaleza; y, la presuncional legal y humana en lo que beneficie a la oferente. . . . . . . . . . . . . . . . . . . . . . . . . . .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jc w:val="both"/>
        <w:rPr>
          <w:rFonts w:ascii="Calibri" w:hAnsi="Calibri"/>
          <w:color w:val="595959" w:themeColor="text1" w:themeTint="A6"/>
          <w:sz w:val="26"/>
          <w:szCs w:val="26"/>
        </w:rPr>
      </w:pPr>
      <w:r w:rsidRPr="00AB0A26">
        <w:rPr>
          <w:rFonts w:ascii="Calibri" w:hAnsi="Calibri"/>
          <w:color w:val="595959" w:themeColor="text1" w:themeTint="A6"/>
          <w:sz w:val="26"/>
          <w:szCs w:val="26"/>
        </w:rPr>
        <w:tab/>
        <w:t xml:space="preserve">En cuanto a la suspensión de los actos impugnados, </w:t>
      </w:r>
      <w:r w:rsidRPr="00AB0A26">
        <w:rPr>
          <w:rFonts w:ascii="Calibri" w:hAnsi="Calibri"/>
          <w:b/>
          <w:color w:val="595959" w:themeColor="text1" w:themeTint="A6"/>
          <w:sz w:val="26"/>
          <w:szCs w:val="26"/>
        </w:rPr>
        <w:t>se concedió</w:t>
      </w:r>
      <w:r w:rsidRPr="00AB0A26">
        <w:rPr>
          <w:rFonts w:ascii="Calibri" w:hAnsi="Calibri"/>
          <w:color w:val="595959" w:themeColor="text1" w:themeTint="A6"/>
          <w:sz w:val="26"/>
          <w:szCs w:val="26"/>
        </w:rPr>
        <w:t xml:space="preserve"> dicha medida cautelar, para efectos de que se mantuvieran las cosas en el estado en que encontraban a la presentación de la demanda. . . . . . . .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pStyle w:val="Textoindependiente2"/>
        <w:ind w:firstLine="708"/>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Asimismo se ordenó emplazar y correr traslado a las autoridades señaladas como demandadas, a efecto de que dieran contestación de la demanda; lo que realizaron el Licenciado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en su carácter de Director </w:t>
      </w:r>
      <w:r w:rsidRPr="00AB0A26">
        <w:rPr>
          <w:rFonts w:ascii="Calibri" w:hAnsi="Calibri"/>
          <w:color w:val="595959" w:themeColor="text1" w:themeTint="A6"/>
          <w:sz w:val="26"/>
          <w:szCs w:val="26"/>
        </w:rPr>
        <w:lastRenderedPageBreak/>
        <w:t xml:space="preserve">General de Fiscalización y Control, y el inspector adscrito de nombre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por escritos que presentaron el día 24 veinticuatro de noviembre del año 2014 dos mil catorce; en los que plantearon causales de improcedencia, sostuvieron la legalidad de lo actuado; dieron contestación a los hechos, realizando, además, argumentos, por los que consideraron que eran ineficaces los conceptos de impugnación planteados. . . . . </w:t>
      </w:r>
    </w:p>
    <w:p w:rsidR="00C353F8" w:rsidRPr="00AB0A26" w:rsidRDefault="00C353F8" w:rsidP="00C353F8">
      <w:pPr>
        <w:pStyle w:val="Textoindependiente2"/>
        <w:ind w:firstLine="708"/>
        <w:rPr>
          <w:rFonts w:ascii="Calibri" w:hAnsi="Calibri"/>
          <w:color w:val="595959" w:themeColor="text1" w:themeTint="A6"/>
          <w:sz w:val="26"/>
          <w:szCs w:val="26"/>
        </w:rPr>
      </w:pPr>
    </w:p>
    <w:p w:rsidR="00C353F8" w:rsidRPr="00AB0A26" w:rsidRDefault="00C353F8" w:rsidP="00C353F8">
      <w:pPr>
        <w:pStyle w:val="Textoindependiente"/>
        <w:ind w:firstLine="708"/>
        <w:rPr>
          <w:rFonts w:ascii="Calibri" w:hAnsi="Calibri"/>
          <w:color w:val="595959" w:themeColor="text1" w:themeTint="A6"/>
          <w:sz w:val="26"/>
          <w:szCs w:val="26"/>
        </w:rPr>
      </w:pPr>
      <w:r w:rsidRPr="00AB0A26">
        <w:rPr>
          <w:rFonts w:ascii="Calibri" w:hAnsi="Calibri" w:cs="Arial"/>
          <w:b/>
          <w:bCs/>
          <w:i/>
          <w:iCs/>
          <w:color w:val="595959" w:themeColor="text1" w:themeTint="A6"/>
          <w:sz w:val="26"/>
          <w:szCs w:val="26"/>
        </w:rPr>
        <w:t>TERCERO</w:t>
      </w:r>
      <w:r w:rsidRPr="00AB0A26">
        <w:rPr>
          <w:rFonts w:ascii="Calibri" w:hAnsi="Calibri" w:cs="Arial"/>
          <w:i/>
          <w:iCs/>
          <w:color w:val="595959" w:themeColor="text1" w:themeTint="A6"/>
          <w:sz w:val="26"/>
          <w:szCs w:val="26"/>
        </w:rPr>
        <w:t xml:space="preserve">.- </w:t>
      </w:r>
      <w:r w:rsidRPr="00AB0A26">
        <w:rPr>
          <w:rFonts w:ascii="Calibri" w:hAnsi="Calibri"/>
          <w:color w:val="595959" w:themeColor="text1" w:themeTint="A6"/>
          <w:sz w:val="26"/>
          <w:szCs w:val="26"/>
        </w:rPr>
        <w:t xml:space="preserve">Por proveído de fecha 9 nueve de diciembre del año 2014 dos mil catorce, se tuvo al Director General de Fiscalización y Control, Licenciado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y al inspector adscrito demandado, </w:t>
      </w:r>
      <w:r w:rsidRPr="00AB0A26">
        <w:rPr>
          <w:rFonts w:ascii="Calibri" w:hAnsi="Calibri"/>
          <w:b/>
          <w:color w:val="595959" w:themeColor="text1" w:themeTint="A6"/>
          <w:sz w:val="26"/>
          <w:szCs w:val="26"/>
        </w:rPr>
        <w:t>por contestando</w:t>
      </w:r>
      <w:r w:rsidRPr="00AB0A26">
        <w:rPr>
          <w:rFonts w:ascii="Calibri" w:hAnsi="Calibri"/>
          <w:color w:val="595959" w:themeColor="text1" w:themeTint="A6"/>
          <w:sz w:val="26"/>
          <w:szCs w:val="26"/>
        </w:rPr>
        <w:t xml:space="preserve">, en tiempo y forma legal, la demanda instaurada en su contra, admitiéndoles como pruebas de su intención, la documental admitida a la parte actora y las anexas a sus escritos de contestación, consistentes en las copias certificadas de su nombramiento y gafete respectivamente; las que se tuvieron desde ese momento por desahogadas, dada su naturaleza; y, la presuncional en su doble aspecto. . . . . . . . . . . . . . . . . . . . . . . . . . . . . . . . . . . . . . . . . . . . . . . . . . . . . . . . . . . . . . </w:t>
      </w:r>
    </w:p>
    <w:p w:rsidR="00C353F8" w:rsidRPr="00AB0A26" w:rsidRDefault="00C353F8" w:rsidP="00C353F8">
      <w:pPr>
        <w:pStyle w:val="Textoindependiente"/>
        <w:rPr>
          <w:rFonts w:ascii="Calibri" w:hAnsi="Calibri"/>
          <w:color w:val="595959" w:themeColor="text1" w:themeTint="A6"/>
          <w:sz w:val="26"/>
          <w:szCs w:val="26"/>
        </w:rPr>
      </w:pPr>
    </w:p>
    <w:p w:rsidR="00C353F8" w:rsidRPr="00AB0A26" w:rsidRDefault="00C353F8" w:rsidP="00C353F8">
      <w:pPr>
        <w:pStyle w:val="Textoindependiente"/>
        <w:ind w:firstLine="708"/>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De esta manera, al no existir pruebas pendientes de desahogo y por ser el momento procesal oportuno, se citó a las partes a la audiencia de alegatos, a celebrarse, a las 10:30 diez horas con treinta minutos del día 9 nueve de febrero del 2015 dos mil quince, en el recinto de este Juzgado. . . . . . . . . . . . . . . . . . . . . . . </w:t>
      </w:r>
    </w:p>
    <w:p w:rsidR="00C353F8" w:rsidRPr="00AB0A26" w:rsidRDefault="00C353F8" w:rsidP="00C353F8">
      <w:pPr>
        <w:pStyle w:val="Textoindependiente"/>
        <w:rPr>
          <w:rFonts w:ascii="Calibri" w:hAnsi="Calibri"/>
          <w:b/>
          <w:bCs/>
          <w:i/>
          <w:iCs/>
          <w:color w:val="595959" w:themeColor="text1" w:themeTint="A6"/>
          <w:sz w:val="22"/>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b/>
          <w:bCs/>
          <w:i/>
          <w:iCs/>
          <w:color w:val="595959" w:themeColor="text1" w:themeTint="A6"/>
          <w:sz w:val="26"/>
          <w:szCs w:val="26"/>
        </w:rPr>
        <w:t xml:space="preserve">CUARTO.- </w:t>
      </w:r>
      <w:r w:rsidRPr="00AB0A26">
        <w:rPr>
          <w:rFonts w:ascii="Calibri" w:hAnsi="Calibri" w:cs="Arial"/>
          <w:color w:val="595959" w:themeColor="text1" w:themeTint="A6"/>
          <w:sz w:val="26"/>
          <w:szCs w:val="26"/>
        </w:rPr>
        <w:t>En la fecha y hora señaladas en el resultando anterior, se llevó a cabo la audiencia de alegatos,</w:t>
      </w:r>
      <w:r w:rsidRPr="00AB0A26">
        <w:rPr>
          <w:rFonts w:ascii="Calibri" w:hAnsi="Calibri" w:cs="Arial"/>
          <w:color w:val="595959" w:themeColor="text1" w:themeTint="A6"/>
          <w:sz w:val="26"/>
        </w:rPr>
        <w:t xml:space="preserve"> en la que, una vez declarada abierta, se hizo constar la inasistencia de las partes y que ninguna de estas formuló alegatos; turnándose los autos para el dictado de la sentencia que en derecho proceda</w:t>
      </w:r>
      <w:r w:rsidRPr="00AB0A26">
        <w:rPr>
          <w:rFonts w:ascii="Calibri" w:hAnsi="Calibri" w:cs="Arial"/>
          <w:color w:val="595959" w:themeColor="text1" w:themeTint="A6"/>
          <w:sz w:val="26"/>
          <w:szCs w:val="26"/>
        </w:rPr>
        <w:t xml:space="preserve">. . . </w:t>
      </w:r>
    </w:p>
    <w:p w:rsidR="00C353F8" w:rsidRPr="00AB0A26" w:rsidRDefault="00C353F8" w:rsidP="00C353F8">
      <w:pPr>
        <w:pStyle w:val="Textoindependiente"/>
        <w:ind w:firstLine="708"/>
        <w:rPr>
          <w:rFonts w:ascii="Calibri" w:hAnsi="Calibri" w:cs="Arial"/>
          <w:color w:val="595959" w:themeColor="text1" w:themeTint="A6"/>
          <w:sz w:val="26"/>
          <w:szCs w:val="26"/>
        </w:rPr>
      </w:pPr>
    </w:p>
    <w:p w:rsidR="00C353F8" w:rsidRPr="00AB0A26" w:rsidRDefault="00C353F8" w:rsidP="00C353F8">
      <w:pPr>
        <w:ind w:firstLine="708"/>
        <w:jc w:val="center"/>
        <w:rPr>
          <w:rFonts w:ascii="Calibri" w:hAnsi="Calibri" w:cs="Arial"/>
          <w:b/>
          <w:i/>
          <w:iCs/>
          <w:color w:val="595959" w:themeColor="text1" w:themeTint="A6"/>
          <w:sz w:val="26"/>
          <w:szCs w:val="26"/>
        </w:rPr>
      </w:pPr>
      <w:r w:rsidRPr="00AB0A26">
        <w:rPr>
          <w:rFonts w:ascii="Calibri" w:hAnsi="Calibri" w:cs="Arial"/>
          <w:b/>
          <w:i/>
          <w:iCs/>
          <w:color w:val="595959" w:themeColor="text1" w:themeTint="A6"/>
          <w:sz w:val="26"/>
          <w:szCs w:val="26"/>
        </w:rPr>
        <w:t>C O N S I D E R A N D O :</w:t>
      </w:r>
    </w:p>
    <w:p w:rsidR="00C353F8" w:rsidRPr="00AB0A26" w:rsidRDefault="00C353F8" w:rsidP="00C353F8">
      <w:pPr>
        <w:jc w:val="both"/>
        <w:rPr>
          <w:rFonts w:ascii="Calibri" w:hAnsi="Calibri" w:cs="Arial"/>
          <w:b/>
          <w:i/>
          <w:iCs/>
          <w:color w:val="595959" w:themeColor="text1" w:themeTint="A6"/>
          <w:sz w:val="22"/>
          <w:szCs w:val="26"/>
        </w:rPr>
      </w:pPr>
    </w:p>
    <w:p w:rsidR="00C353F8" w:rsidRPr="00AB0A26" w:rsidRDefault="00C353F8" w:rsidP="00C353F8">
      <w:pPr>
        <w:pStyle w:val="Textoindependiente"/>
        <w:ind w:firstLine="708"/>
        <w:rPr>
          <w:rFonts w:ascii="Calibri" w:hAnsi="Calibri"/>
          <w:color w:val="595959" w:themeColor="text1" w:themeTint="A6"/>
          <w:sz w:val="26"/>
          <w:szCs w:val="26"/>
        </w:rPr>
      </w:pPr>
      <w:r w:rsidRPr="00AB0A26">
        <w:rPr>
          <w:rFonts w:ascii="Calibri" w:hAnsi="Calibri" w:cs="Arial"/>
          <w:b/>
          <w:i/>
          <w:iCs/>
          <w:color w:val="595959" w:themeColor="text1" w:themeTint="A6"/>
          <w:sz w:val="26"/>
          <w:szCs w:val="26"/>
        </w:rPr>
        <w:t xml:space="preserve">PRIMERO.- </w:t>
      </w:r>
      <w:r w:rsidRPr="00AB0A26">
        <w:rPr>
          <w:rFonts w:ascii="Calibri" w:hAnsi="Calibri" w:cs="Arial"/>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B0A26">
        <w:rPr>
          <w:rFonts w:ascii="Calibri" w:hAnsi="Calibri"/>
          <w:color w:val="595959" w:themeColor="text1" w:themeTint="A6"/>
          <w:sz w:val="26"/>
          <w:szCs w:val="26"/>
        </w:rPr>
        <w:t xml:space="preserve">en virtud de que se impugnan actos atribuidos al Director General de Fiscalización y Control y a un Inspector adscrito a dicha dependencia; autoridades que forman parte de la administración pública municipal de León, Guanajuato. . . . . . . . . . . . . . . . . . . . . . . . . . . . . . . . . . . . . . . . . . </w:t>
      </w:r>
    </w:p>
    <w:p w:rsidR="00C353F8" w:rsidRPr="00AB0A26" w:rsidRDefault="00C353F8" w:rsidP="00C353F8">
      <w:pPr>
        <w:pStyle w:val="Textoindependiente"/>
        <w:ind w:firstLine="708"/>
        <w:rPr>
          <w:rFonts w:ascii="Calibri" w:hAnsi="Calibri"/>
          <w:b/>
          <w:bCs/>
          <w:i/>
          <w:iCs/>
          <w:color w:val="595959" w:themeColor="text1" w:themeTint="A6"/>
          <w:sz w:val="22"/>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bCs/>
          <w:i/>
          <w:iCs/>
          <w:color w:val="595959" w:themeColor="text1" w:themeTint="A6"/>
          <w:sz w:val="26"/>
          <w:szCs w:val="26"/>
        </w:rPr>
        <w:t xml:space="preserve">SEGUNDO.- </w:t>
      </w:r>
      <w:r w:rsidRPr="00AB0A26">
        <w:rPr>
          <w:rFonts w:ascii="Calibri" w:hAnsi="Calibri" w:cs="Arial"/>
          <w:color w:val="595959" w:themeColor="text1" w:themeTint="A6"/>
          <w:sz w:val="26"/>
          <w:szCs w:val="27"/>
        </w:rPr>
        <w:t xml:space="preserve">El presente proceso fue promovido oportunamente, toda vez que la demanda fue presentada </w:t>
      </w:r>
      <w:r w:rsidRPr="00AB0A26">
        <w:rPr>
          <w:rFonts w:ascii="Calibri" w:hAnsi="Calibri" w:cs="Arial"/>
          <w:color w:val="595959" w:themeColor="text1" w:themeTint="A6"/>
          <w:sz w:val="26"/>
          <w:szCs w:val="26"/>
        </w:rPr>
        <w:t>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18 dieciocho de octubre del 2014 dos mil catorce; sin que de las constancias del presente expediente se desprenda lo contrario</w:t>
      </w:r>
      <w:r w:rsidRPr="00AB0A26">
        <w:rPr>
          <w:rFonts w:ascii="Calibri" w:hAnsi="Calibri"/>
          <w:color w:val="595959" w:themeColor="text1" w:themeTint="A6"/>
          <w:sz w:val="26"/>
          <w:szCs w:val="26"/>
        </w:rPr>
        <w:t xml:space="preserve"> . . . . . . . . . . </w:t>
      </w:r>
    </w:p>
    <w:p w:rsidR="00C353F8" w:rsidRPr="00AB0A26" w:rsidRDefault="00C353F8" w:rsidP="00C353F8">
      <w:pPr>
        <w:jc w:val="both"/>
        <w:rPr>
          <w:rFonts w:ascii="Calibri" w:hAnsi="Calibri"/>
          <w:b/>
          <w:i/>
          <w:iCs/>
          <w:color w:val="595959" w:themeColor="text1" w:themeTint="A6"/>
          <w:sz w:val="26"/>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
          <w:i/>
          <w:iCs/>
          <w:color w:val="595959" w:themeColor="text1" w:themeTint="A6"/>
          <w:sz w:val="26"/>
          <w:szCs w:val="26"/>
        </w:rPr>
        <w:t xml:space="preserve">TERCERO.- </w:t>
      </w:r>
      <w:r w:rsidRPr="00AB0A26">
        <w:rPr>
          <w:rFonts w:ascii="Calibri" w:hAnsi="Calibri"/>
          <w:color w:val="595959" w:themeColor="text1" w:themeTint="A6"/>
          <w:sz w:val="26"/>
          <w:szCs w:val="26"/>
        </w:rPr>
        <w:t xml:space="preserve">La existencia de los actos impugnados, se encuentra documentada en autos, </w:t>
      </w:r>
      <w:r w:rsidRPr="00AB0A26">
        <w:rPr>
          <w:rFonts w:ascii="Calibri" w:hAnsi="Calibri" w:cs="Calibri"/>
          <w:color w:val="595959" w:themeColor="text1" w:themeTint="A6"/>
          <w:sz w:val="26"/>
          <w:szCs w:val="26"/>
        </w:rPr>
        <w:t xml:space="preserve">con las copias al carbón de la </w:t>
      </w:r>
      <w:r w:rsidRPr="00AB0A26">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18 dieciocho de octubre del año 2014 dos mil catorce y relativas al expediente </w:t>
      </w:r>
    </w:p>
    <w:p w:rsidR="00C353F8" w:rsidRPr="00AB0A26" w:rsidRDefault="00C353F8" w:rsidP="00C353F8">
      <w:pPr>
        <w:ind w:firstLine="708"/>
        <w:jc w:val="right"/>
        <w:rPr>
          <w:rFonts w:ascii="Calibri" w:hAnsi="Calibri" w:cs="Calibri"/>
          <w:b/>
          <w:color w:val="595959" w:themeColor="text1" w:themeTint="A6"/>
          <w:sz w:val="26"/>
          <w:szCs w:val="26"/>
        </w:rPr>
      </w:pPr>
      <w:r w:rsidRPr="00AB0A26">
        <w:rPr>
          <w:rFonts w:ascii="Calibri" w:hAnsi="Calibri" w:cs="Calibri"/>
          <w:b/>
          <w:color w:val="595959" w:themeColor="text1" w:themeTint="A6"/>
          <w:sz w:val="26"/>
          <w:szCs w:val="26"/>
        </w:rPr>
        <w:t>Expediente número 644/2014-JN</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jc w:val="both"/>
        <w:rPr>
          <w:rFonts w:ascii="Calibri" w:hAnsi="Calibri" w:cs="Calibri"/>
          <w:color w:val="595959" w:themeColor="text1" w:themeTint="A6"/>
          <w:sz w:val="26"/>
          <w:szCs w:val="26"/>
        </w:rPr>
      </w:pPr>
      <w:r w:rsidRPr="00AB0A26">
        <w:rPr>
          <w:rFonts w:ascii="Calibri" w:hAnsi="Calibri"/>
          <w:color w:val="595959" w:themeColor="text1" w:themeTint="A6"/>
          <w:sz w:val="26"/>
          <w:szCs w:val="26"/>
        </w:rPr>
        <w:t>número DGFC/DT/001654/2014-S/A. Documentos que aportados por la actora, le f</w:t>
      </w:r>
      <w:r w:rsidRPr="00AB0A26">
        <w:rPr>
          <w:rFonts w:ascii="Calibri" w:hAnsi="Calibri" w:cs="Calibri"/>
          <w:color w:val="595959" w:themeColor="text1" w:themeTint="A6"/>
          <w:sz w:val="26"/>
          <w:szCs w:val="26"/>
        </w:rPr>
        <w:t>ueron admitidos como pruebas de su intención y que obran en el secreto de este Juzgado</w:t>
      </w:r>
      <w:r w:rsidRPr="00AB0A26">
        <w:rPr>
          <w:rFonts w:ascii="Calibri" w:hAnsi="Calibri"/>
          <w:color w:val="595959" w:themeColor="text1" w:themeTint="A6"/>
          <w:sz w:val="26"/>
          <w:szCs w:val="26"/>
        </w:rPr>
        <w:t xml:space="preserve"> (</w:t>
      </w:r>
      <w:r w:rsidRPr="00AB0A26">
        <w:rPr>
          <w:rFonts w:ascii="Calibri" w:hAnsi="Calibri" w:cs="Calibri"/>
          <w:color w:val="595959" w:themeColor="text1" w:themeTint="A6"/>
          <w:sz w:val="26"/>
          <w:szCs w:val="26"/>
        </w:rPr>
        <w:t xml:space="preserve">visibles en el expediente, en copias certificadas, a fojas 3 tres a 7 siete); los cuales </w:t>
      </w:r>
      <w:r w:rsidRPr="00AB0A26">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 . . . . . . . . . . . . . . . . . . . . . . . . . . . . . . . . . . . . . . </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color w:val="595959" w:themeColor="text1" w:themeTint="A6"/>
          <w:sz w:val="26"/>
          <w:szCs w:val="27"/>
        </w:rPr>
        <w:t xml:space="preserve">En razón de lo anterior, se tiene por debidamente acreditada la existencia de los actos impugnados. . . . </w:t>
      </w:r>
      <w:r w:rsidRPr="00AB0A26">
        <w:rPr>
          <w:rFonts w:ascii="Calibri" w:hAnsi="Calibri"/>
          <w:color w:val="595959" w:themeColor="text1" w:themeTint="A6"/>
          <w:sz w:val="26"/>
          <w:szCs w:val="26"/>
        </w:rPr>
        <w:t xml:space="preserve">. . . . . . . . . . . . . . . . . . . . . . . . . . . . . . . . . . . . . . . . . . . . </w:t>
      </w:r>
    </w:p>
    <w:p w:rsidR="00C353F8" w:rsidRPr="00AB0A26" w:rsidRDefault="00C353F8" w:rsidP="00C353F8">
      <w:pPr>
        <w:jc w:val="both"/>
        <w:rPr>
          <w:rFonts w:ascii="Calibri" w:hAnsi="Calibri"/>
          <w:color w:val="595959" w:themeColor="text1" w:themeTint="A6"/>
          <w:sz w:val="22"/>
          <w:szCs w:val="26"/>
        </w:rPr>
      </w:pPr>
    </w:p>
    <w:p w:rsidR="00C353F8" w:rsidRPr="00AB0A26" w:rsidRDefault="00C353F8" w:rsidP="00C353F8">
      <w:pPr>
        <w:ind w:firstLine="708"/>
        <w:jc w:val="both"/>
        <w:rPr>
          <w:rFonts w:ascii="Calibri" w:hAnsi="Calibri"/>
          <w:bCs/>
          <w:iCs/>
          <w:color w:val="595959" w:themeColor="text1" w:themeTint="A6"/>
          <w:sz w:val="26"/>
          <w:szCs w:val="26"/>
        </w:rPr>
      </w:pPr>
      <w:r w:rsidRPr="00AB0A26">
        <w:rPr>
          <w:rFonts w:ascii="Calibri" w:hAnsi="Calibri"/>
          <w:b/>
          <w:bCs/>
          <w:i/>
          <w:iCs/>
          <w:color w:val="595959" w:themeColor="text1" w:themeTint="A6"/>
          <w:sz w:val="26"/>
          <w:szCs w:val="26"/>
        </w:rPr>
        <w:t xml:space="preserve">CUARTO.- </w:t>
      </w:r>
      <w:r w:rsidRPr="00AB0A26">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353F8" w:rsidRPr="00AB0A26" w:rsidRDefault="00C353F8" w:rsidP="00C353F8">
      <w:pPr>
        <w:ind w:firstLine="708"/>
        <w:jc w:val="both"/>
        <w:rPr>
          <w:rFonts w:ascii="Calibri" w:hAnsi="Calibri"/>
          <w:bCs/>
          <w:iCs/>
          <w:color w:val="595959" w:themeColor="text1" w:themeTint="A6"/>
          <w:sz w:val="26"/>
          <w:szCs w:val="26"/>
        </w:rPr>
      </w:pPr>
    </w:p>
    <w:p w:rsidR="00C353F8" w:rsidRPr="00AB0A26" w:rsidRDefault="00C353F8" w:rsidP="00C353F8">
      <w:pPr>
        <w:ind w:firstLine="708"/>
        <w:jc w:val="both"/>
        <w:rPr>
          <w:rFonts w:ascii="Calibri" w:hAnsi="Calibri"/>
          <w:bCs/>
          <w:iCs/>
          <w:color w:val="595959" w:themeColor="text1" w:themeTint="A6"/>
          <w:sz w:val="26"/>
          <w:szCs w:val="26"/>
        </w:rPr>
      </w:pPr>
      <w:r w:rsidRPr="00AB0A26">
        <w:rPr>
          <w:rFonts w:ascii="Calibri" w:hAnsi="Calibri"/>
          <w:bCs/>
          <w:iCs/>
          <w:color w:val="595959" w:themeColor="text1" w:themeTint="A6"/>
          <w:sz w:val="26"/>
          <w:szCs w:val="26"/>
        </w:rPr>
        <w:t>Asentado lo anterior, se advierte que en el presente proceso, las autoridades demandadas, exteriorizaron que el proceso es 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p>
    <w:p w:rsidR="00C353F8" w:rsidRPr="00AB0A26" w:rsidRDefault="00C353F8" w:rsidP="00C353F8">
      <w:pPr>
        <w:jc w:val="both"/>
        <w:rPr>
          <w:rFonts w:ascii="Calibri" w:hAnsi="Calibri"/>
          <w:bCs/>
          <w:iCs/>
          <w:color w:val="595959" w:themeColor="text1" w:themeTint="A6"/>
          <w:sz w:val="26"/>
          <w:szCs w:val="26"/>
        </w:rPr>
      </w:pPr>
    </w:p>
    <w:p w:rsidR="00C353F8" w:rsidRPr="00AB0A26" w:rsidRDefault="00C353F8" w:rsidP="00C353F8">
      <w:pPr>
        <w:ind w:firstLine="708"/>
        <w:jc w:val="both"/>
        <w:rPr>
          <w:rFonts w:ascii="Calibri" w:hAnsi="Calibri"/>
          <w:bCs/>
          <w:iCs/>
          <w:color w:val="595959" w:themeColor="text1" w:themeTint="A6"/>
          <w:sz w:val="26"/>
          <w:szCs w:val="26"/>
        </w:rPr>
      </w:pPr>
      <w:r w:rsidRPr="00AB0A26">
        <w:rPr>
          <w:rFonts w:ascii="Calibri" w:hAnsi="Calibri"/>
          <w:bCs/>
          <w:iCs/>
          <w:color w:val="595959" w:themeColor="text1" w:themeTint="A6"/>
          <w:sz w:val="26"/>
          <w:szCs w:val="26"/>
        </w:rPr>
        <w:t xml:space="preserve">Causal de improcedencia que para quien resuelve </w:t>
      </w:r>
      <w:r w:rsidRPr="00AB0A26">
        <w:rPr>
          <w:rFonts w:ascii="Calibri" w:hAnsi="Calibri"/>
          <w:b/>
          <w:bCs/>
          <w:iCs/>
          <w:color w:val="595959" w:themeColor="text1" w:themeTint="A6"/>
          <w:sz w:val="26"/>
          <w:szCs w:val="26"/>
        </w:rPr>
        <w:t>no se actualiza</w:t>
      </w:r>
      <w:r w:rsidRPr="00AB0A26">
        <w:rPr>
          <w:rFonts w:ascii="Calibri" w:hAnsi="Calibri"/>
          <w:bCs/>
          <w:iCs/>
          <w:color w:val="595959" w:themeColor="text1" w:themeTint="A6"/>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por lo que al no prosperar la causal de improcedencia señalada, la actora sí se encuentra legitimada para promover el proceso que nos ocupa. . . . . . . . . . . . . . . . . . . . . . . . . . . . . . . . . . . . . . . . . . . . . . . . . </w:t>
      </w:r>
    </w:p>
    <w:p w:rsidR="00C353F8" w:rsidRPr="00AB0A26" w:rsidRDefault="00C353F8" w:rsidP="00C353F8">
      <w:pPr>
        <w:jc w:val="both"/>
        <w:rPr>
          <w:rFonts w:ascii="Calibri" w:hAnsi="Calibri"/>
          <w:bCs/>
          <w:iCs/>
          <w:color w:val="595959" w:themeColor="text1" w:themeTint="A6"/>
          <w:sz w:val="26"/>
          <w:szCs w:val="26"/>
        </w:rPr>
      </w:pPr>
    </w:p>
    <w:p w:rsidR="00C353F8" w:rsidRPr="00AB0A26" w:rsidRDefault="00C353F8" w:rsidP="00C353F8">
      <w:pPr>
        <w:ind w:firstLine="708"/>
        <w:jc w:val="both"/>
        <w:rPr>
          <w:rFonts w:ascii="Calibri" w:hAnsi="Calibri"/>
          <w:bCs/>
          <w:iCs/>
          <w:color w:val="595959" w:themeColor="text1" w:themeTint="A6"/>
          <w:sz w:val="26"/>
          <w:szCs w:val="26"/>
        </w:rPr>
      </w:pPr>
      <w:r w:rsidRPr="00AB0A26">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C353F8" w:rsidRPr="00AB0A26" w:rsidRDefault="00C353F8" w:rsidP="00C353F8">
      <w:pPr>
        <w:jc w:val="both"/>
        <w:rPr>
          <w:rFonts w:ascii="Calibri" w:hAnsi="Calibri"/>
          <w:bCs/>
          <w:iCs/>
          <w:color w:val="595959" w:themeColor="text1" w:themeTint="A6"/>
          <w:sz w:val="26"/>
          <w:szCs w:val="26"/>
        </w:rPr>
      </w:pPr>
    </w:p>
    <w:p w:rsidR="00C353F8" w:rsidRPr="00AB0A26" w:rsidRDefault="00C353F8" w:rsidP="00C353F8">
      <w:pPr>
        <w:jc w:val="both"/>
        <w:rPr>
          <w:rFonts w:ascii="Calibri" w:hAnsi="Calibri"/>
          <w:bCs/>
          <w:iCs/>
          <w:color w:val="595959" w:themeColor="text1" w:themeTint="A6"/>
          <w:sz w:val="26"/>
          <w:szCs w:val="26"/>
        </w:rPr>
      </w:pPr>
      <w:r w:rsidRPr="00AB0A26">
        <w:rPr>
          <w:rFonts w:ascii="Calibri" w:hAnsi="Calibri"/>
          <w:bCs/>
          <w:iCs/>
          <w:color w:val="595959" w:themeColor="text1" w:themeTint="A6"/>
          <w:sz w:val="26"/>
          <w:szCs w:val="26"/>
        </w:rPr>
        <w:tab/>
      </w:r>
      <w:r w:rsidRPr="00AB0A26">
        <w:rPr>
          <w:rFonts w:ascii="Calibri" w:hAnsi="Calibri"/>
          <w:b/>
          <w:bCs/>
          <w:iCs/>
          <w:color w:val="595959" w:themeColor="text1" w:themeTint="A6"/>
          <w:sz w:val="26"/>
          <w:szCs w:val="26"/>
        </w:rPr>
        <w:t>No se actualiza</w:t>
      </w:r>
      <w:r w:rsidRPr="00AB0A26">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 . . . </w:t>
      </w:r>
    </w:p>
    <w:p w:rsidR="00C353F8" w:rsidRPr="00AB0A26" w:rsidRDefault="00C353F8" w:rsidP="00C353F8">
      <w:pPr>
        <w:ind w:firstLine="708"/>
        <w:jc w:val="both"/>
        <w:rPr>
          <w:rFonts w:ascii="Calibri" w:hAnsi="Calibri" w:cs="Calibri"/>
          <w:bCs/>
          <w:iCs/>
          <w:color w:val="595959" w:themeColor="text1" w:themeTint="A6"/>
          <w:sz w:val="26"/>
          <w:szCs w:val="26"/>
        </w:rPr>
      </w:pPr>
    </w:p>
    <w:p w:rsidR="00C353F8" w:rsidRPr="00AB0A26" w:rsidRDefault="00C353F8" w:rsidP="00C353F8">
      <w:pPr>
        <w:ind w:firstLine="708"/>
        <w:jc w:val="both"/>
        <w:rPr>
          <w:rFonts w:ascii="Calibri" w:hAnsi="Calibri"/>
          <w:color w:val="595959" w:themeColor="text1" w:themeTint="A6"/>
          <w:sz w:val="26"/>
        </w:rPr>
      </w:pPr>
      <w:r w:rsidRPr="00AB0A26">
        <w:rPr>
          <w:rFonts w:ascii="Calibri" w:hAnsi="Calibri" w:cs="Calibri"/>
          <w:bCs/>
          <w:iCs/>
          <w:color w:val="595959" w:themeColor="text1" w:themeTint="A6"/>
          <w:sz w:val="26"/>
          <w:szCs w:val="26"/>
        </w:rPr>
        <w:t xml:space="preserve">Por último, este Juzgador, de oficio, </w:t>
      </w:r>
      <w:r w:rsidRPr="00AB0A26">
        <w:rPr>
          <w:rFonts w:ascii="Calibri" w:hAnsi="Calibri" w:cs="Calibri"/>
          <w:b/>
          <w:bCs/>
          <w:iCs/>
          <w:color w:val="595959" w:themeColor="text1" w:themeTint="A6"/>
          <w:sz w:val="26"/>
          <w:szCs w:val="26"/>
        </w:rPr>
        <w:t>no advierte</w:t>
      </w:r>
      <w:r w:rsidRPr="00AB0A26">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Pr="00AB0A26">
        <w:rPr>
          <w:rFonts w:ascii="Calibri" w:hAnsi="Calibri"/>
          <w:color w:val="595959" w:themeColor="text1" w:themeTint="A6"/>
          <w:sz w:val="26"/>
        </w:rPr>
        <w:t>. . . . . . . .</w:t>
      </w:r>
    </w:p>
    <w:p w:rsidR="00C353F8" w:rsidRPr="00AB0A26" w:rsidRDefault="00C353F8" w:rsidP="00C353F8">
      <w:pPr>
        <w:jc w:val="both"/>
        <w:rPr>
          <w:rFonts w:ascii="Calibri" w:hAnsi="Calibri"/>
          <w:b/>
          <w:bCs/>
          <w:i/>
          <w:iCs/>
          <w:color w:val="595959" w:themeColor="text1" w:themeTint="A6"/>
          <w:sz w:val="26"/>
          <w:szCs w:val="26"/>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Arial"/>
          <w:b/>
          <w:i/>
          <w:color w:val="595959" w:themeColor="text1" w:themeTint="A6"/>
          <w:sz w:val="26"/>
          <w:szCs w:val="26"/>
        </w:rPr>
        <w:t>QUINTO.-</w:t>
      </w:r>
      <w:r w:rsidRPr="00AB0A26">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C353F8" w:rsidRPr="00AB0A26" w:rsidRDefault="00C353F8" w:rsidP="00C353F8">
      <w:pPr>
        <w:ind w:firstLine="708"/>
        <w:jc w:val="both"/>
        <w:rPr>
          <w:rFonts w:ascii="Calibri" w:hAnsi="Calibri"/>
          <w:color w:val="595959" w:themeColor="text1" w:themeTint="A6"/>
          <w:sz w:val="22"/>
          <w:szCs w:val="26"/>
        </w:rPr>
      </w:pPr>
    </w:p>
    <w:p w:rsidR="00C353F8" w:rsidRPr="00AB0A26" w:rsidRDefault="00C353F8" w:rsidP="00C353F8">
      <w:pPr>
        <w:pStyle w:val="Sangra2detindependiente"/>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18 dieciocho de octubre del año 2014 dos mil catorce, dentro del expediente número DGFC/DT/001654/2014-S/A, se emitió la orden de inspección impugnada; y, que en relación a la misma, ese mismo día, el inspector de nombre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procedió a verificar el cumplimiento de las disposiciones establecidas en el Reglamento para el Funcionamiento de Establecimientos Comerciales y de Servicios en el Municipio de León, Guanajuato, en vigor; en el establecimiento de tienda de abarrotes “Che che” ubicado en el domicilio marcado con el número </w:t>
      </w:r>
      <w:r>
        <w:rPr>
          <w:rFonts w:ascii="Calibri" w:hAnsi="Calibri"/>
          <w:color w:val="595959" w:themeColor="text1" w:themeTint="A6"/>
          <w:sz w:val="26"/>
          <w:szCs w:val="26"/>
        </w:rPr>
        <w:t>(.....)</w:t>
      </w:r>
      <w:r w:rsidRPr="00AB0A26">
        <w:rPr>
          <w:rFonts w:ascii="Calibri" w:hAnsi="Calibri"/>
          <w:color w:val="595959" w:themeColor="text1" w:themeTint="A6"/>
          <w:sz w:val="26"/>
          <w:szCs w:val="26"/>
        </w:rPr>
        <w:t xml:space="preserve">;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 . . . . . . . . . . . . . . . . . . . . . . . . . . . . . . . . . . . . . </w:t>
      </w:r>
    </w:p>
    <w:p w:rsidR="00C353F8" w:rsidRPr="00AB0A26" w:rsidRDefault="00C353F8" w:rsidP="00C353F8">
      <w:pPr>
        <w:pStyle w:val="Sangra2detindependiente"/>
        <w:rPr>
          <w:rFonts w:ascii="Calibri" w:hAnsi="Calibri"/>
          <w:color w:val="595959" w:themeColor="text1" w:themeTint="A6"/>
          <w:sz w:val="26"/>
          <w:szCs w:val="26"/>
        </w:rPr>
      </w:pPr>
    </w:p>
    <w:p w:rsidR="00C353F8" w:rsidRPr="00AB0A26" w:rsidRDefault="00C353F8" w:rsidP="00C353F8">
      <w:pPr>
        <w:pStyle w:val="Sangra2detindependiente"/>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C353F8" w:rsidRPr="00AB0A26" w:rsidRDefault="00C353F8" w:rsidP="00C353F8">
      <w:pPr>
        <w:pStyle w:val="Textoindependiente"/>
        <w:tabs>
          <w:tab w:val="left" w:pos="3594"/>
        </w:tabs>
        <w:rPr>
          <w:rFonts w:ascii="Calibri" w:hAnsi="Calibri" w:cs="Calibri"/>
          <w:iCs/>
          <w:color w:val="595959" w:themeColor="text1" w:themeTint="A6"/>
          <w:sz w:val="26"/>
          <w:szCs w:val="26"/>
        </w:rPr>
      </w:pPr>
    </w:p>
    <w:p w:rsidR="00C353F8" w:rsidRPr="00AB0A26" w:rsidRDefault="00C353F8" w:rsidP="00C353F8">
      <w:pPr>
        <w:pStyle w:val="Textoindependiente"/>
        <w:tabs>
          <w:tab w:val="left" w:pos="3594"/>
        </w:tabs>
        <w:rPr>
          <w:rFonts w:ascii="Calibri" w:hAnsi="Calibri" w:cs="Calibri"/>
          <w:iCs/>
          <w:color w:val="595959" w:themeColor="text1" w:themeTint="A6"/>
          <w:sz w:val="26"/>
          <w:szCs w:val="26"/>
        </w:rPr>
      </w:pPr>
      <w:r w:rsidRPr="00AB0A26">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C353F8" w:rsidRPr="00AB0A26" w:rsidRDefault="00C353F8" w:rsidP="00C353F8">
      <w:pPr>
        <w:ind w:firstLine="708"/>
        <w:jc w:val="right"/>
        <w:rPr>
          <w:rFonts w:ascii="Calibri" w:hAnsi="Calibri" w:cs="Arial"/>
          <w:b/>
          <w:color w:val="595959" w:themeColor="text1" w:themeTint="A6"/>
          <w:sz w:val="26"/>
          <w:szCs w:val="26"/>
        </w:rPr>
      </w:pPr>
      <w:r w:rsidRPr="00AB0A26">
        <w:rPr>
          <w:rFonts w:ascii="Calibri" w:hAnsi="Calibri" w:cs="Arial"/>
          <w:b/>
          <w:color w:val="595959" w:themeColor="text1" w:themeTint="A6"/>
          <w:sz w:val="26"/>
          <w:szCs w:val="26"/>
        </w:rPr>
        <w:t>Expediente número 644/2014-JN</w:t>
      </w:r>
    </w:p>
    <w:p w:rsidR="00C353F8" w:rsidRPr="00AB0A26" w:rsidRDefault="00C353F8" w:rsidP="00C353F8">
      <w:pPr>
        <w:jc w:val="both"/>
        <w:rPr>
          <w:rFonts w:ascii="Calibri" w:hAnsi="Calibri" w:cs="Calibri"/>
          <w:color w:val="595959" w:themeColor="text1" w:themeTint="A6"/>
          <w:sz w:val="26"/>
          <w:szCs w:val="26"/>
          <w:lang w:val="es-MX"/>
        </w:rPr>
      </w:pPr>
      <w:r w:rsidRPr="00AB0A26">
        <w:rPr>
          <w:rFonts w:ascii="Calibri" w:hAnsi="Calibri" w:cs="Calibri"/>
          <w:color w:val="595959" w:themeColor="text1" w:themeTint="A6"/>
          <w:sz w:val="26"/>
          <w:szCs w:val="26"/>
          <w:lang w:val="es-MX"/>
        </w:rPr>
        <w:tab/>
      </w: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cs="Calibri"/>
          <w:color w:val="595959" w:themeColor="text1" w:themeTint="A6"/>
          <w:sz w:val="26"/>
          <w:szCs w:val="26"/>
        </w:rPr>
        <w:t>Así las cosas, la “litis” planteada se hace consistir en determinar la legalidad o ilegalidad de l</w:t>
      </w:r>
      <w:r w:rsidRPr="00AB0A26">
        <w:rPr>
          <w:rFonts w:ascii="Calibri" w:hAnsi="Calibri"/>
          <w:color w:val="595959" w:themeColor="text1" w:themeTint="A6"/>
          <w:sz w:val="26"/>
          <w:szCs w:val="26"/>
        </w:rPr>
        <w:t xml:space="preserve">a orden de inspección, de fecha 18 dieciocho de octubre del año 2014 dos mil catorce, emitida dentro del expediente con número DGFC/DT/001654/2014-S/A;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 . . . . . . . . . . . . . . . . . . . . . . . . . . . . . . . . . . . . . . . . . . . . . . . . </w:t>
      </w:r>
    </w:p>
    <w:p w:rsidR="00C353F8" w:rsidRPr="00AB0A26" w:rsidRDefault="00C353F8" w:rsidP="00C353F8">
      <w:pPr>
        <w:jc w:val="both"/>
        <w:rPr>
          <w:rFonts w:ascii="Calibri" w:hAnsi="Calibri" w:cs="Arial"/>
          <w:b/>
          <w:bCs/>
          <w:i/>
          <w:iCs/>
          <w:color w:val="595959" w:themeColor="text1" w:themeTint="A6"/>
          <w:sz w:val="26"/>
          <w:szCs w:val="26"/>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Arial"/>
          <w:b/>
          <w:bCs/>
          <w:i/>
          <w:iCs/>
          <w:color w:val="595959" w:themeColor="text1" w:themeTint="A6"/>
          <w:sz w:val="26"/>
          <w:szCs w:val="26"/>
        </w:rPr>
        <w:t xml:space="preserve">SEXTO.- </w:t>
      </w:r>
      <w:r w:rsidRPr="00AB0A26">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C353F8" w:rsidRPr="00AB0A26" w:rsidRDefault="00C353F8" w:rsidP="00C353F8">
      <w:pPr>
        <w:ind w:firstLine="708"/>
        <w:jc w:val="both"/>
        <w:rPr>
          <w:rFonts w:ascii="Calibri" w:hAnsi="Calibri" w:cs="Arial"/>
          <w:color w:val="595959" w:themeColor="text1" w:themeTint="A6"/>
          <w:sz w:val="26"/>
          <w:szCs w:val="26"/>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AB0A26">
        <w:rPr>
          <w:rFonts w:ascii="Calibri" w:hAnsi="Calibri" w:cs="Arial"/>
          <w:color w:val="595959" w:themeColor="text1" w:themeTint="A6"/>
          <w:sz w:val="26"/>
          <w:szCs w:val="26"/>
        </w:rPr>
        <w:t xml:space="preserve">. . </w:t>
      </w:r>
      <w:r w:rsidRPr="00AB0A26">
        <w:rPr>
          <w:rFonts w:ascii="Calibri" w:hAnsi="Calibri" w:cs="Calibri"/>
          <w:color w:val="595959" w:themeColor="text1" w:themeTint="A6"/>
          <w:sz w:val="26"/>
          <w:szCs w:val="26"/>
        </w:rPr>
        <w:t>. . . . . . . . . . . . . . . . . . . . . . . . . . . . . . . . . . . . . . . . . . . . . . . . . . . .</w:t>
      </w:r>
    </w:p>
    <w:p w:rsidR="00C353F8" w:rsidRPr="00AB0A26" w:rsidRDefault="00C353F8" w:rsidP="00C353F8">
      <w:pPr>
        <w:jc w:val="both"/>
        <w:rPr>
          <w:rFonts w:ascii="Calibri" w:hAnsi="Calibri" w:cs="Arial"/>
          <w:color w:val="595959" w:themeColor="text1" w:themeTint="A6"/>
          <w:sz w:val="26"/>
          <w:szCs w:val="26"/>
        </w:rPr>
      </w:pPr>
    </w:p>
    <w:p w:rsidR="00C353F8" w:rsidRPr="00AB0A26" w:rsidRDefault="00C353F8" w:rsidP="00C353F8">
      <w:pPr>
        <w:pStyle w:val="Textoindependiente"/>
        <w:ind w:firstLine="708"/>
        <w:rPr>
          <w:rFonts w:ascii="Calibri" w:hAnsi="Calibri"/>
          <w:color w:val="595959" w:themeColor="text1" w:themeTint="A6"/>
          <w:sz w:val="26"/>
          <w:szCs w:val="26"/>
        </w:rPr>
      </w:pPr>
      <w:r w:rsidRPr="00AB0A26">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AB0A26">
        <w:rPr>
          <w:rFonts w:ascii="Calibri" w:hAnsi="Calibri"/>
          <w:color w:val="595959" w:themeColor="text1" w:themeTint="A6"/>
          <w:sz w:val="26"/>
          <w:szCs w:val="26"/>
        </w:rPr>
        <w:t xml:space="preserve">del que considera trascendental para emitir la presente resolución, como lo es el argumento señalado con la letra </w:t>
      </w:r>
      <w:r w:rsidRPr="00AB0A26">
        <w:rPr>
          <w:rFonts w:ascii="Calibri" w:hAnsi="Calibri"/>
          <w:b/>
          <w:color w:val="595959" w:themeColor="text1" w:themeTint="A6"/>
          <w:sz w:val="26"/>
          <w:szCs w:val="26"/>
        </w:rPr>
        <w:t>A)</w:t>
      </w:r>
      <w:r w:rsidRPr="00AB0A26">
        <w:rPr>
          <w:rFonts w:ascii="Calibri" w:hAnsi="Calibri"/>
          <w:color w:val="595959" w:themeColor="text1" w:themeTint="A6"/>
          <w:sz w:val="26"/>
          <w:szCs w:val="26"/>
        </w:rPr>
        <w:t>, del capítulo de conceptos de impugnación, (visible a foja 1 uno del expediente); sin necesidad de transcribirlo en su totalidad así como tampoco el restante; siguiendo para ello el criterio sostenido por el Tribunal Colegiado del Poder Judicial de la Federación, que se menciona en la siguiente Jurisprudencia: . . . . . . . . . . . . . . . . . . . . . . . . . . . . . . . . . . . . . . . . . . .</w:t>
      </w:r>
    </w:p>
    <w:p w:rsidR="00C353F8" w:rsidRPr="00AB0A26" w:rsidRDefault="00C353F8" w:rsidP="00C353F8">
      <w:pPr>
        <w:pStyle w:val="Textoindependiente"/>
        <w:ind w:firstLine="708"/>
        <w:rPr>
          <w:rFonts w:ascii="Calibri" w:hAnsi="Calibri"/>
          <w:color w:val="595959" w:themeColor="text1" w:themeTint="A6"/>
          <w:sz w:val="26"/>
          <w:szCs w:val="26"/>
        </w:rPr>
      </w:pPr>
    </w:p>
    <w:p w:rsidR="00C353F8" w:rsidRPr="00AB0A26" w:rsidRDefault="00C353F8" w:rsidP="00C353F8">
      <w:pPr>
        <w:pStyle w:val="Normal0"/>
        <w:ind w:firstLine="708"/>
        <w:jc w:val="both"/>
        <w:rPr>
          <w:rFonts w:ascii="Calibri" w:hAnsi="Calibri"/>
          <w:color w:val="595959" w:themeColor="text1" w:themeTint="A6"/>
          <w:sz w:val="26"/>
          <w:szCs w:val="26"/>
        </w:rPr>
      </w:pPr>
      <w:r w:rsidRPr="00AB0A26">
        <w:rPr>
          <w:rFonts w:ascii="Calibri" w:hAnsi="Calibri"/>
          <w:b/>
          <w:bCs/>
          <w:i/>
          <w:iCs/>
          <w:color w:val="595959" w:themeColor="text1" w:themeTint="A6"/>
          <w:sz w:val="26"/>
          <w:szCs w:val="26"/>
        </w:rPr>
        <w:t xml:space="preserve">“CONCEPTOS DE VIOLACIÓN. EL JUEZ NO ESTÁ OBLIGADO A TRANSCRIBIRLOS. </w:t>
      </w:r>
      <w:r w:rsidRPr="00AB0A26">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0A26">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AB0A26">
        <w:rPr>
          <w:rFonts w:ascii="Calibri" w:hAnsi="Calibri"/>
          <w:color w:val="595959" w:themeColor="text1" w:themeTint="A6"/>
          <w:sz w:val="26"/>
          <w:szCs w:val="26"/>
        </w:rPr>
        <w:t xml:space="preserve">. . . . . . . . . . . . . . . . . . . . . . . . . . . . . . . . . . . . . . . . . . . . . . . . . . . . . . . . . . . . </w:t>
      </w:r>
    </w:p>
    <w:p w:rsidR="00C353F8" w:rsidRPr="00AB0A26" w:rsidRDefault="00C353F8" w:rsidP="00C353F8">
      <w:pPr>
        <w:pStyle w:val="Normal0"/>
        <w:jc w:val="both"/>
        <w:rPr>
          <w:rFonts w:ascii="Calibri" w:hAnsi="Calibri"/>
          <w:color w:val="595959" w:themeColor="text1" w:themeTint="A6"/>
          <w:sz w:val="22"/>
          <w:szCs w:val="22"/>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bCs/>
          <w:iCs/>
          <w:color w:val="595959" w:themeColor="text1" w:themeTint="A6"/>
          <w:sz w:val="26"/>
          <w:szCs w:val="26"/>
        </w:rPr>
        <w:t>Así las cosas, e</w:t>
      </w:r>
      <w:r w:rsidRPr="00AB0A26">
        <w:rPr>
          <w:rFonts w:ascii="Calibri" w:hAnsi="Calibri"/>
          <w:color w:val="595959" w:themeColor="text1" w:themeTint="A6"/>
          <w:sz w:val="26"/>
          <w:szCs w:val="26"/>
        </w:rPr>
        <w:t>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ind w:firstLine="708"/>
        <w:jc w:val="both"/>
        <w:rPr>
          <w:rFonts w:ascii="Calibri" w:hAnsi="Calibri"/>
          <w:iCs/>
          <w:color w:val="595959" w:themeColor="text1" w:themeTint="A6"/>
          <w:sz w:val="26"/>
          <w:szCs w:val="26"/>
        </w:rPr>
      </w:pPr>
      <w:r w:rsidRPr="00AB0A26">
        <w:rPr>
          <w:rFonts w:ascii="Calibri" w:hAnsi="Calibri"/>
          <w:i/>
          <w:color w:val="595959" w:themeColor="text1" w:themeTint="A6"/>
          <w:sz w:val="26"/>
          <w:szCs w:val="26"/>
        </w:rPr>
        <w:t>“A) Toda vez que la orden de visita de inspección… este causa agravios…</w:t>
      </w:r>
      <w:r w:rsidRPr="00AB0A26">
        <w:rPr>
          <w:rFonts w:ascii="Calibri" w:hAnsi="Calibri"/>
          <w:color w:val="595959" w:themeColor="text1" w:themeTint="A6"/>
          <w:sz w:val="26"/>
          <w:szCs w:val="26"/>
        </w:rPr>
        <w:t xml:space="preserve"> </w:t>
      </w:r>
      <w:r w:rsidRPr="00AB0A26">
        <w:rPr>
          <w:rFonts w:ascii="Calibri" w:hAnsi="Calibri"/>
          <w:i/>
          <w:color w:val="595959" w:themeColor="text1" w:themeTint="A6"/>
          <w:sz w:val="26"/>
          <w:szCs w:val="26"/>
        </w:rPr>
        <w:t>toda vez</w:t>
      </w:r>
      <w:r w:rsidRPr="00AB0A26">
        <w:rPr>
          <w:rFonts w:ascii="Calibri" w:hAnsi="Calibri"/>
          <w:color w:val="595959" w:themeColor="text1" w:themeTint="A6"/>
          <w:sz w:val="26"/>
          <w:szCs w:val="26"/>
        </w:rPr>
        <w:t xml:space="preserve"> </w:t>
      </w:r>
      <w:r w:rsidRPr="00AB0A26">
        <w:rPr>
          <w:rFonts w:ascii="Calibri" w:hAnsi="Calibri"/>
          <w:i/>
          <w:color w:val="595959" w:themeColor="text1" w:themeTint="A6"/>
          <w:sz w:val="26"/>
          <w:szCs w:val="26"/>
        </w:rPr>
        <w:t>que en el presente caso,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 habilitación de fecha...”</w:t>
      </w:r>
      <w:r w:rsidRPr="00AB0A26">
        <w:rPr>
          <w:rFonts w:ascii="Calibri" w:hAnsi="Calibri"/>
          <w:iCs/>
          <w:color w:val="595959" w:themeColor="text1" w:themeTint="A6"/>
          <w:sz w:val="26"/>
          <w:szCs w:val="26"/>
        </w:rPr>
        <w:t xml:space="preserve"> . . . . . . . . . . . . . . . . . . . . . . . . . . . . . . . . . . . . . . . . . . . . . . . . </w:t>
      </w:r>
    </w:p>
    <w:p w:rsidR="00C353F8" w:rsidRPr="00AB0A26" w:rsidRDefault="00C353F8" w:rsidP="00C353F8">
      <w:pPr>
        <w:jc w:val="both"/>
        <w:rPr>
          <w:rFonts w:ascii="Calibri" w:hAnsi="Calibri"/>
          <w:i/>
          <w:color w:val="595959" w:themeColor="text1" w:themeTint="A6"/>
          <w:sz w:val="22"/>
          <w:szCs w:val="22"/>
        </w:rPr>
      </w:pPr>
    </w:p>
    <w:p w:rsidR="00C353F8" w:rsidRPr="00AB0A26" w:rsidRDefault="00C353F8" w:rsidP="00C353F8">
      <w:pPr>
        <w:ind w:firstLine="708"/>
        <w:jc w:val="both"/>
        <w:rPr>
          <w:rFonts w:ascii="Calibri" w:hAnsi="Calibri"/>
          <w:i/>
          <w:iCs/>
          <w:color w:val="595959" w:themeColor="text1" w:themeTint="A6"/>
          <w:sz w:val="26"/>
          <w:szCs w:val="26"/>
        </w:rPr>
      </w:pPr>
      <w:r w:rsidRPr="00AB0A26">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negaron que le asista a la actora algún derecho para demandar y que los conceptos de impugnación eran meras apreciaciones sin apego a derecho ni fundamento lógico-jurídico</w:t>
      </w:r>
      <w:r w:rsidRPr="00AB0A26">
        <w:rPr>
          <w:rFonts w:ascii="Calibri" w:hAnsi="Calibri"/>
          <w:i/>
          <w:iCs/>
          <w:color w:val="595959" w:themeColor="text1" w:themeTint="A6"/>
          <w:sz w:val="26"/>
          <w:szCs w:val="26"/>
        </w:rPr>
        <w:t xml:space="preserve">. . . . . . . . . . . . . . </w:t>
      </w:r>
    </w:p>
    <w:p w:rsidR="00C353F8" w:rsidRPr="00AB0A26" w:rsidRDefault="00C353F8" w:rsidP="00C353F8">
      <w:pPr>
        <w:jc w:val="both"/>
        <w:rPr>
          <w:rFonts w:ascii="Calibri" w:hAnsi="Calibri"/>
          <w:iCs/>
          <w:color w:val="595959" w:themeColor="text1" w:themeTint="A6"/>
          <w:sz w:val="22"/>
          <w:szCs w:val="22"/>
        </w:rPr>
      </w:pPr>
    </w:p>
    <w:p w:rsidR="00C353F8" w:rsidRPr="00AB0A26" w:rsidRDefault="00C353F8" w:rsidP="00C353F8">
      <w:pPr>
        <w:pStyle w:val="TEXTO"/>
        <w:tabs>
          <w:tab w:val="clear" w:pos="1843"/>
        </w:tabs>
        <w:ind w:left="0" w:firstLine="708"/>
        <w:rPr>
          <w:rFonts w:ascii="Calibri" w:hAnsi="Calibri"/>
          <w:color w:val="595959" w:themeColor="text1" w:themeTint="A6"/>
          <w:sz w:val="26"/>
          <w:szCs w:val="26"/>
          <w:lang w:val="es-MX"/>
        </w:rPr>
      </w:pPr>
      <w:r w:rsidRPr="00AB0A26">
        <w:rPr>
          <w:rFonts w:ascii="Calibri" w:hAnsi="Calibri"/>
          <w:color w:val="595959" w:themeColor="text1" w:themeTint="A6"/>
          <w:sz w:val="26"/>
          <w:szCs w:val="26"/>
          <w:lang w:val="es-MX"/>
        </w:rPr>
        <w:t xml:space="preserve">Una vez analizada la orden de inspección impugnada, para quien resuelve resulta </w:t>
      </w:r>
      <w:r w:rsidRPr="00AB0A26">
        <w:rPr>
          <w:rFonts w:ascii="Calibri" w:hAnsi="Calibri"/>
          <w:b/>
          <w:color w:val="595959" w:themeColor="text1" w:themeTint="A6"/>
          <w:sz w:val="26"/>
          <w:szCs w:val="26"/>
          <w:lang w:val="es-MX"/>
        </w:rPr>
        <w:t xml:space="preserve">fundado </w:t>
      </w:r>
      <w:r w:rsidRPr="00AB0A26">
        <w:rPr>
          <w:rFonts w:ascii="Calibri" w:hAnsi="Calibri"/>
          <w:color w:val="595959" w:themeColor="text1" w:themeTint="A6"/>
          <w:sz w:val="26"/>
          <w:szCs w:val="26"/>
          <w:lang w:val="es-MX"/>
        </w:rPr>
        <w:t xml:space="preserve">el concepto de impugnación en estudio; pues en dicha orden de visita de inspección emitida el día 18 dieciocho de octubre del año 2014 dos mil catorce, (foja 3 tres del expediente del presente proceso); se aprecian dos tipos de letra, resaltando la circunstancia de que en los espacios destinados al nombre de la encargada del establecimiento; su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 la encargada del establecimiento, su domicilio y la fecha de expedición de la orden; </w:t>
      </w:r>
      <w:r w:rsidRPr="00AB0A26">
        <w:rPr>
          <w:rFonts w:ascii="Calibri" w:hAnsi="Calibri"/>
          <w:color w:val="595959" w:themeColor="text1" w:themeTint="A6"/>
          <w:sz w:val="26"/>
          <w:lang w:val="es-MX"/>
        </w:rPr>
        <w:t xml:space="preserve">vulnerándose con ello el contenido del párrafo primero y su fracción I del  </w:t>
      </w:r>
      <w:r w:rsidRPr="00AB0A26">
        <w:rPr>
          <w:rFonts w:ascii="Calibri" w:hAnsi="Calibri"/>
          <w:color w:val="595959" w:themeColor="text1" w:themeTint="A6"/>
          <w:sz w:val="26"/>
          <w:szCs w:val="26"/>
          <w:lang w:val="es-MX"/>
        </w:rPr>
        <w:t xml:space="preserve">artículo 208 del </w:t>
      </w:r>
      <w:r w:rsidRPr="00AB0A26">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AB0A26">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w:t>
      </w:r>
    </w:p>
    <w:p w:rsidR="00C353F8" w:rsidRPr="00AB0A26" w:rsidRDefault="00C353F8" w:rsidP="00C353F8">
      <w:pPr>
        <w:pStyle w:val="Textoindependiente2"/>
        <w:rPr>
          <w:rFonts w:ascii="Calibri" w:hAnsi="Calibri"/>
          <w:color w:val="595959" w:themeColor="text1" w:themeTint="A6"/>
          <w:sz w:val="26"/>
        </w:rPr>
      </w:pPr>
    </w:p>
    <w:p w:rsidR="00C353F8" w:rsidRPr="00AB0A26" w:rsidRDefault="00C353F8" w:rsidP="00C353F8">
      <w:pPr>
        <w:pStyle w:val="Textoindependiente2"/>
        <w:ind w:firstLine="708"/>
        <w:rPr>
          <w:rFonts w:ascii="Calibri" w:hAnsi="Calibri"/>
          <w:color w:val="595959" w:themeColor="text1" w:themeTint="A6"/>
          <w:sz w:val="26"/>
        </w:rPr>
      </w:pPr>
      <w:r w:rsidRPr="00AB0A26">
        <w:rPr>
          <w:rFonts w:ascii="Calibri" w:hAnsi="Calibri"/>
          <w:color w:val="595959" w:themeColor="text1" w:themeTint="A6"/>
          <w:sz w:val="26"/>
        </w:rPr>
        <w:t xml:space="preserve">Así las cosas, en el caso concreto, si como se advierte de la orden de inspección, en la que se aprecia que los espacios relativos al nombre de la  encargada del establecimiento, el domicilio y denominación del mismo, el </w:t>
      </w:r>
    </w:p>
    <w:p w:rsidR="00C353F8" w:rsidRPr="00AB0A26" w:rsidRDefault="00C353F8" w:rsidP="00C353F8">
      <w:pPr>
        <w:pStyle w:val="Textoindependiente2"/>
        <w:ind w:firstLine="708"/>
        <w:jc w:val="right"/>
        <w:rPr>
          <w:rFonts w:ascii="Calibri" w:hAnsi="Calibri"/>
          <w:b/>
          <w:color w:val="595959" w:themeColor="text1" w:themeTint="A6"/>
          <w:sz w:val="26"/>
        </w:rPr>
      </w:pPr>
      <w:r w:rsidRPr="00AB0A26">
        <w:rPr>
          <w:rFonts w:ascii="Calibri" w:hAnsi="Calibri"/>
          <w:b/>
          <w:color w:val="595959" w:themeColor="text1" w:themeTint="A6"/>
          <w:sz w:val="26"/>
        </w:rPr>
        <w:t>Expediente número 644/2014-JN</w:t>
      </w:r>
    </w:p>
    <w:p w:rsidR="00C353F8" w:rsidRPr="00AB0A26" w:rsidRDefault="00C353F8" w:rsidP="00C353F8">
      <w:pPr>
        <w:pStyle w:val="Textoindependiente2"/>
        <w:ind w:firstLine="708"/>
        <w:rPr>
          <w:rFonts w:ascii="Calibri" w:hAnsi="Calibri"/>
          <w:color w:val="595959" w:themeColor="text1" w:themeTint="A6"/>
          <w:sz w:val="26"/>
        </w:rPr>
      </w:pPr>
    </w:p>
    <w:p w:rsidR="00C353F8" w:rsidRPr="00AB0A26" w:rsidRDefault="00C353F8" w:rsidP="00C353F8">
      <w:pPr>
        <w:pStyle w:val="Textoindependiente2"/>
        <w:rPr>
          <w:rFonts w:ascii="Calibri" w:hAnsi="Calibri"/>
          <w:color w:val="595959" w:themeColor="text1" w:themeTint="A6"/>
          <w:sz w:val="26"/>
        </w:rPr>
      </w:pPr>
      <w:r w:rsidRPr="00AB0A26">
        <w:rPr>
          <w:rFonts w:ascii="Calibri" w:hAnsi="Calibri"/>
          <w:color w:val="595959" w:themeColor="text1" w:themeTint="A6"/>
          <w:sz w:val="26"/>
        </w:rPr>
        <w:t xml:space="preserve">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el inspector adscrito demandado, que fue quien acudió a realizar la inspección al establecimiento visitado, ubicado en </w:t>
      </w:r>
      <w:r w:rsidRPr="00AB0A26">
        <w:rPr>
          <w:rFonts w:ascii="Calibri" w:hAnsi="Calibri"/>
          <w:color w:val="595959" w:themeColor="text1" w:themeTint="A6"/>
          <w:sz w:val="26"/>
          <w:szCs w:val="26"/>
        </w:rPr>
        <w:t xml:space="preserve">la </w:t>
      </w:r>
      <w:r>
        <w:rPr>
          <w:rFonts w:ascii="Calibri" w:hAnsi="Calibri"/>
          <w:color w:val="595959" w:themeColor="text1" w:themeTint="A6"/>
          <w:sz w:val="26"/>
          <w:szCs w:val="26"/>
        </w:rPr>
        <w:t>(.....)</w:t>
      </w:r>
      <w:r w:rsidRPr="00AB0A26">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de la encargada del establecimiento y del inspector facultado; el domicilio y denominación del establecimiento; y la fecha de expedición de la orden, que se plasmaron de manera manuscrita; revela que no cumple con lo dispuesto en los ya señalados preceptos; porque al tratarse de una garantía para la gobernada, que la orden se emita </w:t>
      </w:r>
      <w:r w:rsidRPr="00AB0A26">
        <w:rPr>
          <w:rFonts w:ascii="Calibri" w:hAnsi="Calibri"/>
          <w:b/>
          <w:bCs/>
          <w:i/>
          <w:iCs/>
          <w:color w:val="595959" w:themeColor="text1" w:themeTint="A6"/>
          <w:sz w:val="26"/>
        </w:rPr>
        <w:t xml:space="preserve">previamente </w:t>
      </w:r>
      <w:r w:rsidRPr="00AB0A26">
        <w:rPr>
          <w:rFonts w:ascii="Calibri" w:hAnsi="Calibri"/>
          <w:color w:val="595959" w:themeColor="text1" w:themeTint="A6"/>
          <w:sz w:val="26"/>
        </w:rPr>
        <w:t>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 . . . . . . . . . . . . . . .</w:t>
      </w:r>
    </w:p>
    <w:p w:rsidR="00C353F8" w:rsidRPr="00AB0A26" w:rsidRDefault="00C353F8" w:rsidP="00C353F8">
      <w:pPr>
        <w:pStyle w:val="Textoindependiente2"/>
        <w:rPr>
          <w:rFonts w:ascii="Calibri" w:hAnsi="Calibri"/>
          <w:color w:val="595959" w:themeColor="text1" w:themeTint="A6"/>
          <w:sz w:val="26"/>
        </w:rPr>
      </w:pPr>
    </w:p>
    <w:p w:rsidR="00C353F8" w:rsidRPr="00AB0A26" w:rsidRDefault="00C353F8" w:rsidP="00C353F8">
      <w:pPr>
        <w:pStyle w:val="Textoindependiente2"/>
        <w:rPr>
          <w:rFonts w:ascii="Calibri" w:hAnsi="Calibri"/>
          <w:color w:val="595959" w:themeColor="text1" w:themeTint="A6"/>
          <w:sz w:val="26"/>
        </w:rPr>
      </w:pPr>
      <w:r w:rsidRPr="00AB0A26">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C353F8" w:rsidRPr="00AB0A26" w:rsidRDefault="00C353F8" w:rsidP="00C353F8">
      <w:pPr>
        <w:jc w:val="both"/>
        <w:rPr>
          <w:rFonts w:ascii="Calibri" w:hAnsi="Calibri"/>
          <w:color w:val="595959" w:themeColor="text1" w:themeTint="A6"/>
          <w:sz w:val="22"/>
          <w:szCs w:val="22"/>
        </w:rPr>
      </w:pPr>
    </w:p>
    <w:p w:rsidR="00C353F8" w:rsidRPr="00AB0A26" w:rsidRDefault="00C353F8" w:rsidP="00C353F8">
      <w:pPr>
        <w:ind w:firstLine="708"/>
        <w:jc w:val="both"/>
        <w:rPr>
          <w:rFonts w:ascii="Calibri" w:hAnsi="Calibri"/>
          <w:i/>
          <w:iCs/>
          <w:color w:val="595959" w:themeColor="text1" w:themeTint="A6"/>
          <w:sz w:val="26"/>
        </w:rPr>
      </w:pPr>
      <w:r w:rsidRPr="00AB0A26">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AB0A26">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AB0A26">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AB0A26">
        <w:rPr>
          <w:rFonts w:ascii="Calibri" w:hAnsi="Calibri"/>
          <w:color w:val="595959" w:themeColor="text1" w:themeTint="A6"/>
          <w:sz w:val="22"/>
        </w:rPr>
        <w:t xml:space="preserve">. . . . . . . . . . . . . . . . . . . . . . . . . . . </w:t>
      </w:r>
    </w:p>
    <w:p w:rsidR="00C353F8" w:rsidRPr="00AB0A26" w:rsidRDefault="00C353F8" w:rsidP="00C353F8">
      <w:pPr>
        <w:jc w:val="both"/>
        <w:rPr>
          <w:rFonts w:ascii="Calibri" w:hAnsi="Calibri"/>
          <w:color w:val="595959" w:themeColor="text1" w:themeTint="A6"/>
          <w:sz w:val="26"/>
        </w:rPr>
      </w:pPr>
    </w:p>
    <w:p w:rsidR="00C353F8" w:rsidRPr="00AB0A26" w:rsidRDefault="00C353F8" w:rsidP="00C353F8">
      <w:pPr>
        <w:ind w:firstLine="708"/>
        <w:jc w:val="both"/>
        <w:rPr>
          <w:rFonts w:ascii="Calibri" w:hAnsi="Calibri"/>
          <w:color w:val="595959" w:themeColor="text1" w:themeTint="A6"/>
          <w:sz w:val="26"/>
        </w:rPr>
      </w:pPr>
      <w:r w:rsidRPr="00AB0A26">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C353F8" w:rsidRPr="00AB0A26" w:rsidRDefault="00C353F8" w:rsidP="00C353F8">
      <w:pPr>
        <w:jc w:val="both"/>
        <w:rPr>
          <w:rStyle w:val="Textoennegrita"/>
          <w:rFonts w:ascii="Calibri" w:hAnsi="Calibri"/>
          <w:i/>
          <w:iCs/>
          <w:color w:val="595959" w:themeColor="text1" w:themeTint="A6"/>
          <w:sz w:val="26"/>
        </w:rPr>
      </w:pPr>
    </w:p>
    <w:p w:rsidR="00C353F8" w:rsidRPr="00AB0A26" w:rsidRDefault="00C353F8" w:rsidP="00C353F8">
      <w:pPr>
        <w:ind w:firstLine="708"/>
        <w:jc w:val="both"/>
        <w:rPr>
          <w:rFonts w:ascii="Calibri" w:hAnsi="Calibri"/>
          <w:i/>
          <w:iCs/>
          <w:color w:val="595959" w:themeColor="text1" w:themeTint="A6"/>
          <w:sz w:val="26"/>
        </w:rPr>
      </w:pPr>
      <w:r w:rsidRPr="00AB0A26">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AB0A26">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AB0A26">
        <w:rPr>
          <w:rStyle w:val="nfasis"/>
          <w:rFonts w:ascii="Calibri" w:hAnsi="Calibri"/>
          <w:color w:val="595959" w:themeColor="text1" w:themeTint="A6"/>
          <w:sz w:val="26"/>
        </w:rPr>
        <w:t>motu proprio</w:t>
      </w:r>
      <w:r w:rsidRPr="00AB0A26">
        <w:rPr>
          <w:rFonts w:ascii="Calibri" w:hAnsi="Calibri"/>
          <w:color w:val="595959" w:themeColor="text1" w:themeTint="A6"/>
          <w:sz w:val="26"/>
        </w:rPr>
        <w:t xml:space="preserve">, </w:t>
      </w:r>
      <w:r w:rsidRPr="00AB0A26">
        <w:rPr>
          <w:rFonts w:ascii="Calibri" w:hAnsi="Calibri"/>
          <w:i/>
          <w:iCs/>
          <w:color w:val="595959" w:themeColor="text1" w:themeTint="A6"/>
          <w:sz w:val="26"/>
        </w:rPr>
        <w:t xml:space="preserve">practicar la visita de inspección. </w:t>
      </w:r>
      <w:r w:rsidRPr="00AB0A26">
        <w:rPr>
          <w:rFonts w:ascii="Calibri" w:hAnsi="Calibri"/>
          <w:i/>
          <w:iCs/>
          <w:color w:val="595959" w:themeColor="text1" w:themeTint="A6"/>
          <w:sz w:val="22"/>
        </w:rPr>
        <w:t>(</w:t>
      </w:r>
      <w:r w:rsidRPr="00AB0A26">
        <w:rPr>
          <w:rStyle w:val="nfasis"/>
          <w:rFonts w:ascii="Calibri" w:hAnsi="Calibri"/>
          <w:color w:val="595959" w:themeColor="text1" w:themeTint="A6"/>
          <w:sz w:val="22"/>
        </w:rPr>
        <w:t>Expediente 991/3ª Sala/10. Actores: J. Guadalupe Plácido Colchado y Ofelia Gómez Hernández. Resolución del 9 nueve de marzo de 2011 dos mil once</w:t>
      </w:r>
      <w:r w:rsidRPr="00AB0A26">
        <w:rPr>
          <w:rFonts w:ascii="Calibri" w:hAnsi="Calibri"/>
          <w:i/>
          <w:iCs/>
          <w:color w:val="595959" w:themeColor="text1" w:themeTint="A6"/>
          <w:sz w:val="22"/>
        </w:rPr>
        <w:t xml:space="preserve">). </w:t>
      </w:r>
      <w:r w:rsidRPr="00AB0A26">
        <w:rPr>
          <w:rFonts w:ascii="Calibri" w:hAnsi="Calibri"/>
          <w:i/>
          <w:iCs/>
          <w:color w:val="595959" w:themeColor="text1" w:themeTint="A6"/>
          <w:sz w:val="26"/>
        </w:rPr>
        <w:t xml:space="preserve">. . . . . . . . . . </w:t>
      </w:r>
    </w:p>
    <w:p w:rsidR="00C353F8" w:rsidRPr="00AB0A26" w:rsidRDefault="00C353F8" w:rsidP="00C353F8">
      <w:pPr>
        <w:pStyle w:val="Textoindependiente3"/>
        <w:jc w:val="right"/>
        <w:rPr>
          <w:b/>
          <w:bCs/>
          <w:color w:val="595959" w:themeColor="text1" w:themeTint="A6"/>
          <w:szCs w:val="24"/>
        </w:rPr>
      </w:pPr>
    </w:p>
    <w:p w:rsidR="00C353F8" w:rsidRPr="00AB0A26" w:rsidRDefault="00C353F8" w:rsidP="00C353F8">
      <w:pPr>
        <w:jc w:val="both"/>
        <w:rPr>
          <w:rFonts w:ascii="Calibri" w:hAnsi="Calibri"/>
          <w:color w:val="595959" w:themeColor="text1" w:themeTint="A6"/>
          <w:sz w:val="26"/>
        </w:rPr>
      </w:pPr>
      <w:r w:rsidRPr="00AB0A26">
        <w:rPr>
          <w:rFonts w:ascii="Calibri" w:hAnsi="Calibri"/>
          <w:iCs/>
          <w:color w:val="595959" w:themeColor="text1" w:themeTint="A6"/>
          <w:sz w:val="26"/>
        </w:rPr>
        <w:tab/>
        <w:t xml:space="preserve">No está por demás, el resaltar </w:t>
      </w:r>
      <w:r w:rsidRPr="00AB0A26">
        <w:rPr>
          <w:rFonts w:ascii="Calibri" w:hAnsi="Calibri"/>
          <w:b/>
          <w:iCs/>
          <w:color w:val="595959" w:themeColor="text1" w:themeTint="A6"/>
          <w:sz w:val="26"/>
        </w:rPr>
        <w:t xml:space="preserve">la </w:t>
      </w:r>
      <w:r w:rsidRPr="00AB0A26">
        <w:rPr>
          <w:rFonts w:ascii="Calibri" w:hAnsi="Calibri"/>
          <w:b/>
          <w:color w:val="595959" w:themeColor="text1" w:themeTint="A6"/>
          <w:sz w:val="26"/>
        </w:rPr>
        <w:t xml:space="preserve">casualidad </w:t>
      </w:r>
      <w:r w:rsidRPr="00AB0A26">
        <w:rPr>
          <w:rFonts w:ascii="Calibri" w:hAnsi="Calibri"/>
          <w:color w:val="595959" w:themeColor="text1" w:themeTint="A6"/>
          <w:sz w:val="26"/>
        </w:rPr>
        <w:t xml:space="preserve">de que la letra manuscrita contenida en la orden de inspección del expediente número DGFC/DT/001654/2014-S/A, es similar a la letra manuscrita que se contiene en el acta de visita de inspección con el mismo número de expediente; lo que no </w:t>
      </w:r>
    </w:p>
    <w:p w:rsidR="00C353F8" w:rsidRPr="00AB0A26" w:rsidRDefault="00C353F8" w:rsidP="00C353F8">
      <w:pPr>
        <w:jc w:val="both"/>
        <w:rPr>
          <w:rFonts w:ascii="Calibri" w:hAnsi="Calibri"/>
          <w:color w:val="595959" w:themeColor="text1" w:themeTint="A6"/>
          <w:sz w:val="26"/>
        </w:rPr>
      </w:pPr>
    </w:p>
    <w:p w:rsidR="00C353F8" w:rsidRPr="00AB0A26" w:rsidRDefault="00C353F8" w:rsidP="00C353F8">
      <w:pPr>
        <w:ind w:firstLine="708"/>
        <w:jc w:val="right"/>
        <w:rPr>
          <w:rFonts w:ascii="Calibri" w:hAnsi="Calibri" w:cs="Arial"/>
          <w:b/>
          <w:color w:val="595959" w:themeColor="text1" w:themeTint="A6"/>
          <w:sz w:val="26"/>
          <w:szCs w:val="26"/>
        </w:rPr>
      </w:pPr>
      <w:r w:rsidRPr="00AB0A26">
        <w:rPr>
          <w:rFonts w:ascii="Calibri" w:hAnsi="Calibri" w:cs="Arial"/>
          <w:b/>
          <w:color w:val="595959" w:themeColor="text1" w:themeTint="A6"/>
          <w:sz w:val="26"/>
          <w:szCs w:val="26"/>
        </w:rPr>
        <w:t>Expediente número 644/2014-JN</w:t>
      </w:r>
    </w:p>
    <w:p w:rsidR="00C353F8" w:rsidRPr="00AB0A26" w:rsidRDefault="00C353F8" w:rsidP="00C353F8">
      <w:pPr>
        <w:jc w:val="both"/>
        <w:rPr>
          <w:rFonts w:ascii="Calibri" w:hAnsi="Calibri"/>
          <w:color w:val="595959" w:themeColor="text1" w:themeTint="A6"/>
          <w:sz w:val="26"/>
        </w:rPr>
      </w:pPr>
    </w:p>
    <w:p w:rsidR="00C353F8" w:rsidRPr="00AB0A26" w:rsidRDefault="00C353F8" w:rsidP="00C353F8">
      <w:pPr>
        <w:jc w:val="both"/>
        <w:rPr>
          <w:rFonts w:ascii="Calibri" w:hAnsi="Calibri"/>
          <w:color w:val="595959" w:themeColor="text1" w:themeTint="A6"/>
          <w:sz w:val="26"/>
        </w:rPr>
      </w:pPr>
      <w:r w:rsidRPr="00AB0A26">
        <w:rPr>
          <w:rFonts w:ascii="Calibri" w:hAnsi="Calibri"/>
          <w:color w:val="595959" w:themeColor="text1" w:themeTint="A6"/>
          <w:sz w:val="26"/>
        </w:rPr>
        <w:t xml:space="preserve">deja lugar a dudas que el inspector actuante fue quien llenó los espacios en blanco de la orden de inspección en cita. . . . . . . . . . . . . . . . . . . . . . . . . . . . . . . . . . . </w:t>
      </w:r>
    </w:p>
    <w:p w:rsidR="00C353F8" w:rsidRPr="00AB0A26" w:rsidRDefault="00C353F8" w:rsidP="00C353F8">
      <w:pPr>
        <w:pStyle w:val="Textoindependiente3"/>
        <w:rPr>
          <w:b/>
          <w:bCs/>
          <w:color w:val="595959" w:themeColor="text1" w:themeTint="A6"/>
          <w:szCs w:val="24"/>
        </w:rPr>
      </w:pPr>
    </w:p>
    <w:p w:rsidR="00C353F8" w:rsidRPr="00AB0A26" w:rsidRDefault="00C353F8" w:rsidP="00C353F8">
      <w:pPr>
        <w:pStyle w:val="Textoindependiente3"/>
        <w:rPr>
          <w:bCs/>
          <w:color w:val="595959" w:themeColor="text1" w:themeTint="A6"/>
          <w:szCs w:val="24"/>
        </w:rPr>
      </w:pPr>
      <w:r w:rsidRPr="00AB0A26">
        <w:rPr>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ind w:firstLine="708"/>
        <w:jc w:val="both"/>
        <w:rPr>
          <w:rFonts w:ascii="Calibri" w:hAnsi="Calibri"/>
          <w:bCs/>
          <w:color w:val="595959" w:themeColor="text1" w:themeTint="A6"/>
          <w:sz w:val="26"/>
          <w:szCs w:val="26"/>
        </w:rPr>
      </w:pPr>
      <w:r w:rsidRPr="00AB0A26">
        <w:rPr>
          <w:rFonts w:ascii="Calibri" w:hAnsi="Calibri"/>
          <w:color w:val="595959" w:themeColor="text1" w:themeTint="A6"/>
          <w:sz w:val="26"/>
          <w:szCs w:val="26"/>
        </w:rPr>
        <w:t xml:space="preserve">Por lo anterior, al resultar fundado el concepto de impugnación en estudio, mismo que demuestra que la orden de inspección de fecha 18 dieciocho de octubre del año próximo pasado, se emitió de manera ilegal; con sustento en lo dispuesto en los artículos 300, fracción II, y 302, fracciones II y III, del Código de Procedimiento y Justicia Administrativa para el Estado y los Municipios de Guanajuato, se procede a decretar la </w:t>
      </w:r>
      <w:r w:rsidRPr="00AB0A26">
        <w:rPr>
          <w:rFonts w:ascii="Calibri" w:hAnsi="Calibri"/>
          <w:b/>
          <w:bCs/>
          <w:color w:val="595959" w:themeColor="text1" w:themeTint="A6"/>
          <w:sz w:val="26"/>
          <w:szCs w:val="26"/>
        </w:rPr>
        <w:t>nulidad total</w:t>
      </w:r>
      <w:r w:rsidRPr="00AB0A26">
        <w:rPr>
          <w:rFonts w:ascii="Calibri" w:hAnsi="Calibri"/>
          <w:bCs/>
          <w:color w:val="595959" w:themeColor="text1" w:themeTint="A6"/>
          <w:sz w:val="26"/>
          <w:szCs w:val="26"/>
        </w:rPr>
        <w:t xml:space="preserve"> de la orden de inspección, </w:t>
      </w:r>
      <w:r w:rsidRPr="00AB0A26">
        <w:rPr>
          <w:rFonts w:ascii="Calibri" w:hAnsi="Calibri"/>
          <w:color w:val="595959" w:themeColor="text1" w:themeTint="A6"/>
          <w:sz w:val="26"/>
          <w:szCs w:val="26"/>
        </w:rPr>
        <w:t xml:space="preserve">de fecha 18 dieciocho de octubre del año 2014 dos mil catorce, del expediente con número DGFC/DT/001654/2014-S/A; </w:t>
      </w:r>
      <w:r w:rsidRPr="00AB0A26">
        <w:rPr>
          <w:rFonts w:ascii="Calibri" w:hAnsi="Calibri"/>
          <w:bCs/>
          <w:color w:val="595959" w:themeColor="text1" w:themeTint="A6"/>
          <w:sz w:val="26"/>
          <w:szCs w:val="26"/>
        </w:rPr>
        <w:t xml:space="preserve">y, por ende, también la </w:t>
      </w:r>
      <w:r w:rsidRPr="00AB0A26">
        <w:rPr>
          <w:rFonts w:ascii="Calibri" w:hAnsi="Calibri"/>
          <w:b/>
          <w:color w:val="595959" w:themeColor="text1" w:themeTint="A6"/>
          <w:sz w:val="26"/>
          <w:szCs w:val="26"/>
        </w:rPr>
        <w:t>nulidad total</w:t>
      </w:r>
      <w:r w:rsidRPr="00AB0A26">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AB0A26">
        <w:rPr>
          <w:rFonts w:ascii="Calibri" w:hAnsi="Calibri"/>
          <w:color w:val="595959" w:themeColor="text1" w:themeTint="A6"/>
          <w:sz w:val="26"/>
          <w:szCs w:val="26"/>
        </w:rPr>
        <w:t xml:space="preserve">con el mismo número de expediente </w:t>
      </w:r>
      <w:r w:rsidRPr="00AB0A26">
        <w:rPr>
          <w:rFonts w:ascii="Calibri" w:hAnsi="Calibri"/>
          <w:bCs/>
          <w:color w:val="595959" w:themeColor="text1" w:themeTint="A6"/>
          <w:sz w:val="26"/>
          <w:szCs w:val="26"/>
        </w:rPr>
        <w:t xml:space="preserve">y de la misma fecha que la de la orden señalada; </w:t>
      </w:r>
      <w:r w:rsidRPr="00AB0A26">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C353F8" w:rsidRPr="00AB0A26" w:rsidRDefault="00C353F8" w:rsidP="00C353F8">
      <w:pPr>
        <w:ind w:firstLine="708"/>
        <w:jc w:val="both"/>
        <w:rPr>
          <w:rFonts w:ascii="Calibri" w:hAnsi="Calibri"/>
          <w:color w:val="595959" w:themeColor="text1" w:themeTint="A6"/>
          <w:sz w:val="22"/>
          <w:szCs w:val="22"/>
        </w:rPr>
      </w:pPr>
    </w:p>
    <w:p w:rsidR="00C353F8" w:rsidRPr="00AB0A26" w:rsidRDefault="00C353F8" w:rsidP="00C353F8">
      <w:pPr>
        <w:pStyle w:val="Sangradetextonormal"/>
        <w:rPr>
          <w:rFonts w:ascii="Calibri" w:hAnsi="Calibri"/>
          <w:color w:val="595959" w:themeColor="text1" w:themeTint="A6"/>
          <w:sz w:val="26"/>
          <w:szCs w:val="26"/>
          <w:lang w:eastAsia="es-MX"/>
        </w:rPr>
      </w:pPr>
      <w:r w:rsidRPr="00AB0A26">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C353F8" w:rsidRPr="00AB0A26" w:rsidRDefault="00C353F8" w:rsidP="00C353F8">
      <w:pPr>
        <w:autoSpaceDE w:val="0"/>
        <w:autoSpaceDN w:val="0"/>
        <w:adjustRightInd w:val="0"/>
        <w:rPr>
          <w:rFonts w:ascii="Calibri" w:hAnsi="Calibri" w:cs="Arial"/>
          <w:color w:val="595959" w:themeColor="text1" w:themeTint="A6"/>
          <w:sz w:val="26"/>
          <w:szCs w:val="26"/>
          <w:lang w:val="es-MX" w:eastAsia="es-MX"/>
        </w:rPr>
      </w:pPr>
    </w:p>
    <w:p w:rsidR="00C353F8" w:rsidRPr="00AB0A26" w:rsidRDefault="00C353F8" w:rsidP="00C353F8">
      <w:pPr>
        <w:autoSpaceDE w:val="0"/>
        <w:autoSpaceDN w:val="0"/>
        <w:adjustRightInd w:val="0"/>
        <w:ind w:firstLine="708"/>
        <w:jc w:val="both"/>
        <w:rPr>
          <w:rFonts w:ascii="Calibri" w:hAnsi="Calibri"/>
          <w:color w:val="595959" w:themeColor="text1" w:themeTint="A6"/>
          <w:sz w:val="20"/>
          <w:szCs w:val="20"/>
          <w:lang w:val="es-MX" w:eastAsia="es-MX"/>
        </w:rPr>
      </w:pPr>
      <w:r w:rsidRPr="00AB0A26">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AB0A26">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AB0A26">
        <w:rPr>
          <w:rFonts w:ascii="Calibri" w:hAnsi="Calibri"/>
          <w:color w:val="595959" w:themeColor="text1" w:themeTint="A6"/>
          <w:sz w:val="20"/>
          <w:szCs w:val="20"/>
          <w:lang w:val="es-MX" w:eastAsia="es-MX"/>
        </w:rPr>
        <w:t xml:space="preserve">SEGUNDO TRIBUNAL COLEGIADO DEL SEXTO CIRCUITO. </w:t>
      </w:r>
      <w:r w:rsidRPr="00AB0A26">
        <w:rPr>
          <w:rFonts w:ascii="Calibri" w:hAnsi="Calibri" w:cs="Arial"/>
          <w:color w:val="595959" w:themeColor="text1" w:themeTint="A6"/>
          <w:sz w:val="20"/>
          <w:szCs w:val="20"/>
          <w:lang w:val="es-MX" w:eastAsia="es-MX"/>
        </w:rPr>
        <w:t xml:space="preserve">Novena Época. </w:t>
      </w:r>
      <w:r w:rsidRPr="00AB0A26">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AB0A26">
        <w:rPr>
          <w:rFonts w:ascii="Calibri" w:hAnsi="Calibri"/>
          <w:color w:val="595959" w:themeColor="text1" w:themeTint="A6"/>
          <w:sz w:val="22"/>
          <w:szCs w:val="26"/>
          <w:lang w:val="es-MX" w:eastAsia="es-MX"/>
        </w:rPr>
        <w:t xml:space="preserve">. . . . . . . . . . . . . . . . . . . . . . . . . . . . . . . . . . . </w:t>
      </w:r>
    </w:p>
    <w:p w:rsidR="00C353F8" w:rsidRPr="00AB0A26" w:rsidRDefault="00C353F8" w:rsidP="00C353F8">
      <w:pPr>
        <w:pStyle w:val="Textoindependiente"/>
        <w:rPr>
          <w:rFonts w:ascii="Calibri" w:hAnsi="Calibri" w:cs="Arial"/>
          <w:b/>
          <w:bCs/>
          <w:i/>
          <w:iCs/>
          <w:color w:val="595959" w:themeColor="text1" w:themeTint="A6"/>
          <w:sz w:val="22"/>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cs="Arial"/>
          <w:b/>
          <w:bCs/>
          <w:i/>
          <w:iCs/>
          <w:color w:val="595959" w:themeColor="text1" w:themeTint="A6"/>
          <w:sz w:val="26"/>
          <w:szCs w:val="26"/>
        </w:rPr>
        <w:t xml:space="preserve">SÉPTIMO.- </w:t>
      </w:r>
      <w:r w:rsidRPr="00AB0A26">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C353F8" w:rsidRPr="00AB0A26" w:rsidRDefault="00C353F8" w:rsidP="00C353F8">
      <w:pPr>
        <w:pStyle w:val="Textoindependiente"/>
        <w:rPr>
          <w:rFonts w:ascii="Calibri" w:hAnsi="Calibri" w:cs="Arial"/>
          <w:color w:val="595959" w:themeColor="text1" w:themeTint="A6"/>
          <w:sz w:val="26"/>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C353F8" w:rsidRPr="00AB0A26" w:rsidRDefault="00C353F8" w:rsidP="00C353F8">
      <w:pPr>
        <w:pStyle w:val="Textoindependiente"/>
        <w:ind w:firstLine="708"/>
        <w:rPr>
          <w:rFonts w:ascii="Calibri" w:hAnsi="Calibri"/>
          <w:b/>
          <w:bCs/>
          <w:i/>
          <w:iCs/>
          <w:color w:val="595959" w:themeColor="text1" w:themeTint="A6"/>
          <w:sz w:val="26"/>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b/>
          <w:bCs/>
          <w:i/>
          <w:iCs/>
          <w:color w:val="595959" w:themeColor="text1" w:themeTint="A6"/>
          <w:sz w:val="26"/>
          <w:szCs w:val="26"/>
        </w:rPr>
        <w:t xml:space="preserve">“CONCEPTOS DE VIOLACION. CUANDO SU ESTUDIO ES INNECESARIO. </w:t>
      </w:r>
      <w:r w:rsidRPr="00AB0A26">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0A26">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B0A26">
        <w:rPr>
          <w:rFonts w:ascii="Calibri" w:hAnsi="Calibri"/>
          <w:color w:val="595959" w:themeColor="text1" w:themeTint="A6"/>
          <w:sz w:val="26"/>
          <w:szCs w:val="26"/>
        </w:rPr>
        <w:t xml:space="preserve">. . . . . . . . . . </w:t>
      </w:r>
      <w:r w:rsidRPr="00AB0A26">
        <w:rPr>
          <w:rFonts w:ascii="Calibri" w:hAnsi="Calibri" w:cs="Arial"/>
          <w:color w:val="595959" w:themeColor="text1" w:themeTint="A6"/>
          <w:sz w:val="26"/>
          <w:szCs w:val="26"/>
        </w:rPr>
        <w:t xml:space="preserve">. . . . . . . . . . . . . . . . . </w:t>
      </w:r>
    </w:p>
    <w:p w:rsidR="00C353F8" w:rsidRPr="00AB0A26" w:rsidRDefault="00C353F8" w:rsidP="00C353F8">
      <w:pPr>
        <w:jc w:val="both"/>
        <w:rPr>
          <w:rFonts w:ascii="Calibri" w:hAnsi="Calibri" w:cs="Arial"/>
          <w:color w:val="595959" w:themeColor="text1" w:themeTint="A6"/>
          <w:sz w:val="20"/>
          <w:szCs w:val="26"/>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cs="Arial"/>
          <w:b/>
          <w:i/>
          <w:color w:val="595959" w:themeColor="text1" w:themeTint="A6"/>
          <w:sz w:val="26"/>
          <w:szCs w:val="26"/>
        </w:rPr>
        <w:t xml:space="preserve">OCTAVO.- </w:t>
      </w:r>
      <w:r w:rsidRPr="00AB0A26">
        <w:rPr>
          <w:rFonts w:ascii="Calibri" w:hAnsi="Calibri" w:cs="Calibri"/>
          <w:color w:val="595959" w:themeColor="text1" w:themeTint="A6"/>
          <w:sz w:val="26"/>
          <w:szCs w:val="26"/>
        </w:rPr>
        <w:t xml:space="preserve">De lo pretendido por la impetrante del proceso, se encuentra también lo concerniente </w:t>
      </w:r>
      <w:r w:rsidRPr="00AB0A26">
        <w:rPr>
          <w:rFonts w:ascii="Calibri" w:hAnsi="Calibri"/>
          <w:color w:val="595959" w:themeColor="text1" w:themeTint="A6"/>
          <w:sz w:val="26"/>
          <w:szCs w:val="26"/>
        </w:rPr>
        <w:t xml:space="preserve">a que se condene a las demandadas a que se levante la clausura impuesta en fecha 18 dieciocho de octubre del año pasado, sobre la máquina de juegos de azar ubicada en el interior del establecimiento visitado . . . </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pStyle w:val="Textoindependiente"/>
        <w:ind w:firstLine="708"/>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Pretensión que resulta </w:t>
      </w:r>
      <w:r w:rsidRPr="00AB0A26">
        <w:rPr>
          <w:rFonts w:ascii="Calibri" w:hAnsi="Calibri"/>
          <w:b/>
          <w:color w:val="595959" w:themeColor="text1" w:themeTint="A6"/>
          <w:sz w:val="26"/>
          <w:szCs w:val="26"/>
        </w:rPr>
        <w:t>procedente</w:t>
      </w:r>
      <w:r w:rsidRPr="00AB0A26">
        <w:rPr>
          <w:rFonts w:ascii="Calibri" w:hAnsi="Calibri"/>
          <w:color w:val="595959" w:themeColor="text1" w:themeTint="A6"/>
          <w:sz w:val="26"/>
          <w:szCs w:val="26"/>
        </w:rPr>
        <w:t xml:space="preserve"> al haberse decretado la nulidad total de los actos impugnados; por lo que el Director General de Fiscalización y Control y el inspector demandado, sin distinción; deberán realizar las gestiones necesarias para tal fin. . . . . . . . . . . . . . .  . . . . . . . . . . . . . . . . . . . . . . . . . . . . . . . . . . . </w:t>
      </w:r>
    </w:p>
    <w:p w:rsidR="00C353F8" w:rsidRPr="00AB0A26" w:rsidRDefault="00C353F8" w:rsidP="00C353F8">
      <w:pPr>
        <w:pStyle w:val="Textoindependiente"/>
        <w:tabs>
          <w:tab w:val="left" w:pos="6662"/>
        </w:tabs>
        <w:ind w:firstLine="708"/>
        <w:rPr>
          <w:rFonts w:ascii="Calibri" w:hAnsi="Calibri" w:cs="Calibri"/>
          <w:bCs/>
          <w:color w:val="595959" w:themeColor="text1" w:themeTint="A6"/>
          <w:sz w:val="26"/>
          <w:szCs w:val="26"/>
        </w:rPr>
      </w:pPr>
      <w:r w:rsidRPr="00AB0A26">
        <w:rPr>
          <w:rFonts w:ascii="Calibri" w:hAnsi="Calibri" w:cs="Arial"/>
          <w:color w:val="595959" w:themeColor="text1" w:themeTint="A6"/>
          <w:sz w:val="18"/>
          <w:szCs w:val="18"/>
        </w:rPr>
        <w:tab/>
      </w:r>
    </w:p>
    <w:p w:rsidR="00C353F8" w:rsidRPr="00AB0A26" w:rsidRDefault="00C353F8" w:rsidP="00C353F8">
      <w:pPr>
        <w:pStyle w:val="Sangradetextonormal"/>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C353F8" w:rsidRPr="00AB0A26" w:rsidRDefault="00C353F8" w:rsidP="00C353F8">
      <w:pPr>
        <w:jc w:val="both"/>
        <w:rPr>
          <w:rFonts w:ascii="Calibri" w:hAnsi="Calibri"/>
          <w:color w:val="595959" w:themeColor="text1" w:themeTint="A6"/>
          <w:sz w:val="22"/>
          <w:szCs w:val="26"/>
          <w:lang w:val="es-MX"/>
        </w:rPr>
      </w:pPr>
    </w:p>
    <w:p w:rsidR="00C353F8" w:rsidRPr="00AB0A26" w:rsidRDefault="00C353F8" w:rsidP="00C353F8">
      <w:pPr>
        <w:pStyle w:val="Textoindependiente"/>
        <w:jc w:val="center"/>
        <w:rPr>
          <w:rFonts w:ascii="Calibri" w:hAnsi="Calibri" w:cs="Arial"/>
          <w:b/>
          <w:i/>
          <w:iCs/>
          <w:color w:val="595959" w:themeColor="text1" w:themeTint="A6"/>
          <w:sz w:val="26"/>
          <w:szCs w:val="26"/>
        </w:rPr>
      </w:pPr>
      <w:r w:rsidRPr="00AB0A26">
        <w:rPr>
          <w:rFonts w:ascii="Calibri" w:hAnsi="Calibri" w:cs="Arial"/>
          <w:b/>
          <w:i/>
          <w:iCs/>
          <w:color w:val="595959" w:themeColor="text1" w:themeTint="A6"/>
          <w:sz w:val="26"/>
          <w:szCs w:val="26"/>
        </w:rPr>
        <w:t>R E S U E L V E :</w:t>
      </w:r>
    </w:p>
    <w:p w:rsidR="00C353F8" w:rsidRPr="00AB0A26" w:rsidRDefault="00C353F8" w:rsidP="00C353F8">
      <w:pPr>
        <w:pStyle w:val="Textoindependiente"/>
        <w:rPr>
          <w:rFonts w:ascii="Calibri" w:hAnsi="Calibri" w:cs="Arial"/>
          <w:color w:val="595959" w:themeColor="text1" w:themeTint="A6"/>
          <w:sz w:val="22"/>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cs="Arial"/>
          <w:b/>
          <w:bCs/>
          <w:i/>
          <w:iCs/>
          <w:color w:val="595959" w:themeColor="text1" w:themeTint="A6"/>
          <w:sz w:val="26"/>
          <w:szCs w:val="26"/>
        </w:rPr>
        <w:t>PRIMERO</w:t>
      </w:r>
      <w:r w:rsidRPr="00AB0A26">
        <w:rPr>
          <w:rFonts w:ascii="Calibri" w:hAnsi="Calibri" w:cs="Arial"/>
          <w:i/>
          <w:iCs/>
          <w:color w:val="595959" w:themeColor="text1" w:themeTint="A6"/>
          <w:sz w:val="26"/>
          <w:szCs w:val="26"/>
        </w:rPr>
        <w:t xml:space="preserve">.- </w:t>
      </w:r>
      <w:r w:rsidRPr="00AB0A26">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C353F8" w:rsidRPr="00AB0A26" w:rsidRDefault="00C353F8" w:rsidP="00C353F8">
      <w:pPr>
        <w:jc w:val="both"/>
        <w:rPr>
          <w:rFonts w:ascii="Calibri" w:hAnsi="Calibri" w:cs="Arial"/>
          <w:b/>
          <w:bCs/>
          <w:i/>
          <w:iCs/>
          <w:color w:val="595959" w:themeColor="text1" w:themeTint="A6"/>
          <w:sz w:val="22"/>
          <w:szCs w:val="22"/>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Arial"/>
          <w:b/>
          <w:bCs/>
          <w:i/>
          <w:iCs/>
          <w:color w:val="595959" w:themeColor="text1" w:themeTint="A6"/>
          <w:sz w:val="26"/>
          <w:szCs w:val="26"/>
        </w:rPr>
        <w:t>SEGUNDO</w:t>
      </w:r>
      <w:r w:rsidRPr="00AB0A26">
        <w:rPr>
          <w:rFonts w:ascii="Calibri" w:hAnsi="Calibri" w:cs="Arial"/>
          <w:b/>
          <w:bCs/>
          <w:color w:val="595959" w:themeColor="text1" w:themeTint="A6"/>
          <w:sz w:val="26"/>
          <w:szCs w:val="26"/>
        </w:rPr>
        <w:t xml:space="preserve">.- </w:t>
      </w:r>
      <w:r w:rsidRPr="00AB0A26">
        <w:rPr>
          <w:rFonts w:ascii="Calibri" w:hAnsi="Calibri" w:cs="Calibri"/>
          <w:color w:val="595959" w:themeColor="text1" w:themeTint="A6"/>
          <w:sz w:val="26"/>
          <w:szCs w:val="26"/>
        </w:rPr>
        <w:t>Resultó procedente el proceso administrativo promovido por la justiciable en contra de los actos impugnados</w:t>
      </w:r>
      <w:r w:rsidRPr="00AB0A26">
        <w:rPr>
          <w:rFonts w:ascii="Calibri" w:hAnsi="Calibri" w:cs="Arial"/>
          <w:color w:val="595959" w:themeColor="text1" w:themeTint="A6"/>
          <w:sz w:val="26"/>
          <w:szCs w:val="26"/>
        </w:rPr>
        <w:t xml:space="preserve">. . . . . . . . . . . . . . . . . . . . . . . . . . . . </w:t>
      </w:r>
    </w:p>
    <w:p w:rsidR="00C353F8" w:rsidRPr="00AB0A26" w:rsidRDefault="00C353F8" w:rsidP="00C353F8">
      <w:pPr>
        <w:jc w:val="both"/>
        <w:rPr>
          <w:rFonts w:ascii="Calibri" w:hAnsi="Calibri" w:cs="Arial"/>
          <w:b/>
          <w:bCs/>
          <w:color w:val="595959" w:themeColor="text1" w:themeTint="A6"/>
          <w:sz w:val="22"/>
          <w:szCs w:val="22"/>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Arial"/>
          <w:b/>
          <w:bCs/>
          <w:i/>
          <w:iCs/>
          <w:color w:val="595959" w:themeColor="text1" w:themeTint="A6"/>
          <w:sz w:val="26"/>
          <w:szCs w:val="26"/>
        </w:rPr>
        <w:t>TERCERO.-</w:t>
      </w:r>
      <w:r w:rsidRPr="00AB0A26">
        <w:rPr>
          <w:rFonts w:ascii="Calibri" w:hAnsi="Calibri" w:cs="Arial"/>
          <w:color w:val="595959" w:themeColor="text1" w:themeTint="A6"/>
          <w:sz w:val="26"/>
          <w:szCs w:val="26"/>
        </w:rPr>
        <w:t xml:space="preserve"> Se decreta </w:t>
      </w:r>
      <w:r w:rsidRPr="00AB0A26">
        <w:rPr>
          <w:rFonts w:ascii="Calibri" w:hAnsi="Calibri" w:cs="Arial"/>
          <w:bCs/>
          <w:color w:val="595959" w:themeColor="text1" w:themeTint="A6"/>
          <w:sz w:val="26"/>
          <w:szCs w:val="26"/>
        </w:rPr>
        <w:t>la</w:t>
      </w:r>
      <w:r w:rsidRPr="00AB0A26">
        <w:rPr>
          <w:rFonts w:ascii="Calibri" w:hAnsi="Calibri" w:cs="Arial"/>
          <w:b/>
          <w:bCs/>
          <w:color w:val="595959" w:themeColor="text1" w:themeTint="A6"/>
          <w:sz w:val="26"/>
          <w:szCs w:val="26"/>
        </w:rPr>
        <w:t xml:space="preserve"> nulidad total </w:t>
      </w:r>
      <w:r w:rsidRPr="00AB0A26">
        <w:rPr>
          <w:rFonts w:ascii="Calibri" w:hAnsi="Calibri" w:cs="Arial"/>
          <w:color w:val="595959" w:themeColor="text1" w:themeTint="A6"/>
          <w:sz w:val="26"/>
          <w:szCs w:val="26"/>
        </w:rPr>
        <w:t xml:space="preserve">de la orden de inspección de </w:t>
      </w:r>
      <w:r w:rsidRPr="00AB0A26">
        <w:rPr>
          <w:rFonts w:ascii="Calibri" w:hAnsi="Calibri"/>
          <w:color w:val="595959" w:themeColor="text1" w:themeTint="A6"/>
          <w:sz w:val="26"/>
          <w:szCs w:val="26"/>
        </w:rPr>
        <w:t xml:space="preserve">fecha  18 dieciocho de octubre del 2014 dos mil catorce, del expediente con número DGFC/DT/001654/2014-S/A; </w:t>
      </w:r>
      <w:r w:rsidRPr="00AB0A26">
        <w:rPr>
          <w:rFonts w:ascii="Calibri" w:hAnsi="Calibri"/>
          <w:bCs/>
          <w:color w:val="595959" w:themeColor="text1" w:themeTint="A6"/>
          <w:sz w:val="26"/>
          <w:szCs w:val="26"/>
        </w:rPr>
        <w:t xml:space="preserve">y, por ende, también la </w:t>
      </w:r>
      <w:r w:rsidRPr="00AB0A26">
        <w:rPr>
          <w:rFonts w:ascii="Calibri" w:hAnsi="Calibri"/>
          <w:b/>
          <w:color w:val="595959" w:themeColor="text1" w:themeTint="A6"/>
          <w:sz w:val="26"/>
          <w:szCs w:val="26"/>
        </w:rPr>
        <w:t>nulidad total</w:t>
      </w:r>
      <w:r w:rsidRPr="00AB0A26">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AB0A26">
        <w:rPr>
          <w:rFonts w:ascii="Calibri" w:hAnsi="Calibri"/>
          <w:color w:val="595959" w:themeColor="text1" w:themeTint="A6"/>
          <w:sz w:val="26"/>
          <w:szCs w:val="26"/>
        </w:rPr>
        <w:t>con el mismo número de expediente de la orden</w:t>
      </w:r>
      <w:r w:rsidRPr="00AB0A26">
        <w:rPr>
          <w:rFonts w:ascii="Calibri" w:hAnsi="Calibri"/>
          <w:bCs/>
          <w:color w:val="595959" w:themeColor="text1" w:themeTint="A6"/>
          <w:sz w:val="26"/>
          <w:szCs w:val="26"/>
        </w:rPr>
        <w:t xml:space="preserve"> y de esa misma fecha; </w:t>
      </w:r>
      <w:r w:rsidRPr="00AB0A26">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w:t>
      </w:r>
    </w:p>
    <w:p w:rsidR="00C353F8" w:rsidRPr="00AB0A26" w:rsidRDefault="00C353F8" w:rsidP="00C353F8">
      <w:pPr>
        <w:pStyle w:val="Textoindependiente"/>
        <w:rPr>
          <w:rFonts w:ascii="Calibri" w:hAnsi="Calibri" w:cs="Calibri"/>
          <w:color w:val="595959" w:themeColor="text1" w:themeTint="A6"/>
          <w:sz w:val="22"/>
          <w:szCs w:val="22"/>
        </w:rPr>
      </w:pPr>
    </w:p>
    <w:p w:rsidR="00C353F8" w:rsidRPr="00AB0A26" w:rsidRDefault="00C353F8" w:rsidP="00C353F8">
      <w:pPr>
        <w:ind w:firstLine="708"/>
        <w:jc w:val="both"/>
        <w:rPr>
          <w:rFonts w:ascii="Calibri" w:hAnsi="Calibri"/>
          <w:color w:val="595959" w:themeColor="text1" w:themeTint="A6"/>
          <w:sz w:val="26"/>
          <w:szCs w:val="26"/>
        </w:rPr>
      </w:pPr>
      <w:r w:rsidRPr="00AB0A26">
        <w:rPr>
          <w:rFonts w:ascii="Calibri" w:hAnsi="Calibri" w:cs="Calibri"/>
          <w:b/>
          <w:i/>
          <w:color w:val="595959" w:themeColor="text1" w:themeTint="A6"/>
          <w:sz w:val="26"/>
          <w:szCs w:val="26"/>
        </w:rPr>
        <w:t xml:space="preserve">CUARTO.- </w:t>
      </w:r>
      <w:r w:rsidRPr="00AB0A26">
        <w:rPr>
          <w:rFonts w:ascii="Calibri" w:hAnsi="Calibri" w:cs="Calibri"/>
          <w:color w:val="595959" w:themeColor="text1" w:themeTint="A6"/>
          <w:sz w:val="26"/>
          <w:szCs w:val="26"/>
        </w:rPr>
        <w:t xml:space="preserve">Se </w:t>
      </w:r>
      <w:r w:rsidRPr="00AB0A26">
        <w:rPr>
          <w:rFonts w:ascii="Calibri" w:hAnsi="Calibri" w:cs="Calibri"/>
          <w:b/>
          <w:color w:val="595959" w:themeColor="text1" w:themeTint="A6"/>
          <w:sz w:val="26"/>
          <w:szCs w:val="26"/>
        </w:rPr>
        <w:t>ordena</w:t>
      </w:r>
      <w:r w:rsidRPr="00AB0A26">
        <w:rPr>
          <w:rFonts w:ascii="Calibri" w:hAnsi="Calibri" w:cs="Calibri"/>
          <w:color w:val="595959" w:themeColor="text1" w:themeTint="A6"/>
          <w:sz w:val="26"/>
          <w:szCs w:val="26"/>
        </w:rPr>
        <w:t xml:space="preserve"> al </w:t>
      </w:r>
      <w:r w:rsidRPr="00AB0A26">
        <w:rPr>
          <w:rFonts w:ascii="Calibri" w:hAnsi="Calibri"/>
          <w:color w:val="595959" w:themeColor="text1" w:themeTint="A6"/>
          <w:sz w:val="26"/>
          <w:szCs w:val="26"/>
        </w:rPr>
        <w:t xml:space="preserve">Director General de Fiscalización y Control y al inspector demandado, </w:t>
      </w:r>
      <w:r w:rsidRPr="00AB0A26">
        <w:rPr>
          <w:rFonts w:ascii="Calibri" w:hAnsi="Calibri" w:cs="Calibri"/>
          <w:color w:val="595959" w:themeColor="text1" w:themeTint="A6"/>
          <w:sz w:val="26"/>
          <w:szCs w:val="26"/>
        </w:rPr>
        <w:t xml:space="preserve">a que realicen las gestiones necesarias ante la autoridad que corresponda, a efecto de que </w:t>
      </w:r>
      <w:r w:rsidRPr="00AB0A26">
        <w:rPr>
          <w:rFonts w:ascii="Calibri" w:hAnsi="Calibri"/>
          <w:color w:val="595959" w:themeColor="text1" w:themeTint="A6"/>
          <w:sz w:val="26"/>
          <w:szCs w:val="26"/>
        </w:rPr>
        <w:t xml:space="preserve">se levante la clausura impuesta en fecha 18 </w:t>
      </w:r>
    </w:p>
    <w:p w:rsidR="00C353F8" w:rsidRPr="00AB0A26" w:rsidRDefault="00C353F8" w:rsidP="00C353F8">
      <w:pPr>
        <w:ind w:firstLine="708"/>
        <w:jc w:val="right"/>
        <w:rPr>
          <w:rFonts w:ascii="Calibri" w:hAnsi="Calibri" w:cs="Arial"/>
          <w:b/>
          <w:color w:val="595959" w:themeColor="text1" w:themeTint="A6"/>
          <w:sz w:val="26"/>
          <w:szCs w:val="26"/>
        </w:rPr>
      </w:pPr>
      <w:r w:rsidRPr="00AB0A26">
        <w:rPr>
          <w:rFonts w:ascii="Calibri" w:hAnsi="Calibri" w:cs="Arial"/>
          <w:b/>
          <w:color w:val="595959" w:themeColor="text1" w:themeTint="A6"/>
          <w:sz w:val="26"/>
          <w:szCs w:val="26"/>
        </w:rPr>
        <w:t>Expediente número 644/2014-JN</w:t>
      </w:r>
    </w:p>
    <w:p w:rsidR="00C353F8" w:rsidRPr="00AB0A26" w:rsidRDefault="00C353F8" w:rsidP="00C353F8">
      <w:pPr>
        <w:ind w:firstLine="708"/>
        <w:jc w:val="both"/>
        <w:rPr>
          <w:rFonts w:ascii="Calibri" w:hAnsi="Calibri"/>
          <w:color w:val="595959" w:themeColor="text1" w:themeTint="A6"/>
          <w:sz w:val="26"/>
          <w:szCs w:val="26"/>
        </w:rPr>
      </w:pPr>
    </w:p>
    <w:p w:rsidR="00C353F8" w:rsidRPr="00AB0A26" w:rsidRDefault="00C353F8" w:rsidP="00C353F8">
      <w:pPr>
        <w:jc w:val="both"/>
        <w:rPr>
          <w:rFonts w:ascii="Calibri" w:hAnsi="Calibri"/>
          <w:color w:val="595959" w:themeColor="text1" w:themeTint="A6"/>
          <w:sz w:val="26"/>
          <w:szCs w:val="26"/>
        </w:rPr>
      </w:pPr>
      <w:r w:rsidRPr="00AB0A26">
        <w:rPr>
          <w:rFonts w:ascii="Calibri" w:hAnsi="Calibri"/>
          <w:color w:val="595959" w:themeColor="text1" w:themeTint="A6"/>
          <w:sz w:val="26"/>
          <w:szCs w:val="26"/>
        </w:rPr>
        <w:t xml:space="preserve">dieciocho de octubre del año pasado, sobre la máquina de juegos de azar ubicada en el interior del establecimiento localizado en calle </w:t>
      </w:r>
      <w:r w:rsidRPr="008956D3">
        <w:rPr>
          <w:rFonts w:ascii="Calibri" w:hAnsi="Calibri"/>
          <w:color w:val="595959" w:themeColor="text1" w:themeTint="A6"/>
          <w:sz w:val="26"/>
          <w:szCs w:val="26"/>
        </w:rPr>
        <w:t>(.....)</w:t>
      </w:r>
      <w:r w:rsidRPr="00AB0A26">
        <w:rPr>
          <w:rFonts w:ascii="Calibri" w:hAnsi="Calibri" w:cs="Calibri"/>
          <w:color w:val="595959" w:themeColor="text1" w:themeTint="A6"/>
          <w:sz w:val="26"/>
          <w:szCs w:val="26"/>
        </w:rPr>
        <w:t xml:space="preserve">; de acuerdo a lo argumentado en el Considerando Octavo de esta misma resolución. . . . . . . . </w:t>
      </w:r>
    </w:p>
    <w:p w:rsidR="00C353F8" w:rsidRPr="00AB0A26" w:rsidRDefault="00C353F8" w:rsidP="00C353F8">
      <w:pPr>
        <w:pStyle w:val="Textoindependiente"/>
        <w:rPr>
          <w:rFonts w:ascii="Calibri" w:hAnsi="Calibri" w:cs="Arial"/>
          <w:b/>
          <w:bCs/>
          <w:i/>
          <w:iCs/>
          <w:color w:val="595959" w:themeColor="text1" w:themeTint="A6"/>
          <w:sz w:val="22"/>
          <w:szCs w:val="22"/>
        </w:rPr>
      </w:pPr>
    </w:p>
    <w:p w:rsidR="00C353F8" w:rsidRPr="00AB0A26" w:rsidRDefault="00C353F8" w:rsidP="00C353F8">
      <w:pPr>
        <w:ind w:firstLine="708"/>
        <w:jc w:val="both"/>
        <w:rPr>
          <w:rFonts w:ascii="Calibri" w:hAnsi="Calibri" w:cs="Calibri"/>
          <w:color w:val="595959" w:themeColor="text1" w:themeTint="A6"/>
          <w:sz w:val="26"/>
          <w:szCs w:val="26"/>
        </w:rPr>
      </w:pPr>
      <w:r w:rsidRPr="00AB0A26">
        <w:rPr>
          <w:rFonts w:ascii="Calibri" w:hAnsi="Calibri" w:cs="Calibri"/>
          <w:color w:val="595959" w:themeColor="text1" w:themeTint="A6"/>
          <w:sz w:val="26"/>
          <w:szCs w:val="26"/>
        </w:rPr>
        <w:t xml:space="preserve">Lo que se deberá realizar dentro de los </w:t>
      </w:r>
      <w:r w:rsidRPr="00AB0A26">
        <w:rPr>
          <w:rFonts w:ascii="Calibri" w:hAnsi="Calibri" w:cs="Calibri"/>
          <w:b/>
          <w:color w:val="595959" w:themeColor="text1" w:themeTint="A6"/>
          <w:sz w:val="26"/>
          <w:szCs w:val="26"/>
        </w:rPr>
        <w:t>15 quince días</w:t>
      </w:r>
      <w:r w:rsidRPr="00AB0A26">
        <w:rPr>
          <w:rFonts w:ascii="Calibri" w:hAnsi="Calibri" w:cs="Calibri"/>
          <w:color w:val="595959" w:themeColor="text1" w:themeTint="A6"/>
          <w:sz w:val="26"/>
          <w:szCs w:val="26"/>
        </w:rPr>
        <w:t xml:space="preserve"> hábiles siguientes a la fecha en que </w:t>
      </w:r>
      <w:r w:rsidRPr="00AB0A26">
        <w:rPr>
          <w:rFonts w:ascii="Calibri" w:hAnsi="Calibri" w:cs="Calibri"/>
          <w:b/>
          <w:color w:val="595959" w:themeColor="text1" w:themeTint="A6"/>
          <w:sz w:val="26"/>
          <w:szCs w:val="26"/>
        </w:rPr>
        <w:t>cause ejecutoria</w:t>
      </w:r>
      <w:r w:rsidRPr="00AB0A26">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 </w:t>
      </w:r>
    </w:p>
    <w:p w:rsidR="00C353F8" w:rsidRPr="00AB0A26" w:rsidRDefault="00C353F8" w:rsidP="00C353F8">
      <w:pPr>
        <w:pStyle w:val="Textoindependiente"/>
        <w:rPr>
          <w:rFonts w:ascii="Calibri" w:hAnsi="Calibri" w:cs="Arial"/>
          <w:color w:val="595959" w:themeColor="text1" w:themeTint="A6"/>
          <w:sz w:val="26"/>
          <w:szCs w:val="26"/>
        </w:rPr>
      </w:pPr>
    </w:p>
    <w:p w:rsidR="00C353F8" w:rsidRPr="00AB0A26" w:rsidRDefault="00C353F8" w:rsidP="00C353F8">
      <w:pPr>
        <w:pStyle w:val="Textoindependiente"/>
        <w:ind w:firstLine="708"/>
        <w:rPr>
          <w:rFonts w:ascii="Calibri" w:hAnsi="Calibri" w:cs="Arial"/>
          <w:color w:val="595959" w:themeColor="text1" w:themeTint="A6"/>
          <w:sz w:val="26"/>
          <w:szCs w:val="26"/>
        </w:rPr>
      </w:pPr>
      <w:r w:rsidRPr="00AB0A26">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C353F8" w:rsidRPr="00AB0A26" w:rsidRDefault="00C353F8" w:rsidP="00C353F8">
      <w:pPr>
        <w:pStyle w:val="Textoindependiente"/>
        <w:rPr>
          <w:rFonts w:ascii="Calibri" w:hAnsi="Calibri" w:cs="Arial"/>
          <w:color w:val="595959" w:themeColor="text1" w:themeTint="A6"/>
          <w:sz w:val="26"/>
          <w:szCs w:val="26"/>
        </w:rPr>
      </w:pPr>
    </w:p>
    <w:p w:rsidR="00C353F8" w:rsidRPr="00AB0A26" w:rsidRDefault="00C353F8" w:rsidP="00C353F8">
      <w:pPr>
        <w:pStyle w:val="Textoindependiente"/>
        <w:rPr>
          <w:rFonts w:ascii="Calibri" w:hAnsi="Calibri" w:cs="Arial"/>
          <w:b/>
          <w:bCs/>
          <w:color w:val="595959" w:themeColor="text1" w:themeTint="A6"/>
          <w:sz w:val="26"/>
          <w:szCs w:val="26"/>
        </w:rPr>
      </w:pPr>
      <w:r w:rsidRPr="00AB0A26">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C353F8" w:rsidRPr="00AB0A26" w:rsidRDefault="00C353F8" w:rsidP="00C353F8">
      <w:pPr>
        <w:pStyle w:val="Textoindependiente"/>
        <w:rPr>
          <w:rFonts w:ascii="Calibri" w:hAnsi="Calibri" w:cs="Arial"/>
          <w:color w:val="595959" w:themeColor="text1" w:themeTint="A6"/>
          <w:sz w:val="22"/>
          <w:szCs w:val="22"/>
        </w:rPr>
      </w:pPr>
    </w:p>
    <w:p w:rsidR="00C353F8" w:rsidRPr="00AB0A26" w:rsidRDefault="00C353F8" w:rsidP="00C353F8">
      <w:pPr>
        <w:ind w:firstLine="708"/>
        <w:jc w:val="both"/>
        <w:rPr>
          <w:rFonts w:ascii="Calibri" w:hAnsi="Calibri" w:cs="Arial"/>
          <w:color w:val="595959" w:themeColor="text1" w:themeTint="A6"/>
          <w:sz w:val="26"/>
          <w:szCs w:val="26"/>
        </w:rPr>
      </w:pPr>
      <w:r w:rsidRPr="00AB0A26">
        <w:rPr>
          <w:rFonts w:ascii="Calibri" w:hAnsi="Calibri" w:cs="Arial"/>
          <w:color w:val="595959" w:themeColor="text1" w:themeTint="A6"/>
          <w:sz w:val="26"/>
          <w:szCs w:val="26"/>
        </w:rPr>
        <w:t xml:space="preserve">Así lo resolvió y firma el Licenciado </w:t>
      </w:r>
      <w:r w:rsidRPr="00AB0A26">
        <w:rPr>
          <w:rFonts w:ascii="Calibri" w:hAnsi="Calibri" w:cs="Arial"/>
          <w:b/>
          <w:bCs/>
          <w:color w:val="595959" w:themeColor="text1" w:themeTint="A6"/>
          <w:sz w:val="26"/>
          <w:szCs w:val="26"/>
        </w:rPr>
        <w:t>Ernesto Alejandro Mora Álvarez</w:t>
      </w:r>
      <w:r w:rsidRPr="00AB0A26">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AB0A26">
        <w:rPr>
          <w:rFonts w:ascii="Calibri" w:hAnsi="Calibri" w:cs="Arial"/>
          <w:b/>
          <w:bCs/>
          <w:color w:val="595959" w:themeColor="text1" w:themeTint="A6"/>
          <w:sz w:val="26"/>
          <w:szCs w:val="26"/>
        </w:rPr>
        <w:t xml:space="preserve">María del Rocío Villanueva Sánchez, </w:t>
      </w:r>
      <w:r w:rsidRPr="00AB0A26">
        <w:rPr>
          <w:rFonts w:ascii="Calibri" w:hAnsi="Calibri" w:cs="Arial"/>
          <w:color w:val="595959" w:themeColor="text1" w:themeTint="A6"/>
          <w:sz w:val="26"/>
          <w:szCs w:val="26"/>
        </w:rPr>
        <w:t xml:space="preserve">quien da fe. . . . . . . . . . . . . . . . . . . . . . . . . . . . . . . . . . . . . . . . . </w:t>
      </w:r>
    </w:p>
    <w:p w:rsidR="00CC18FD" w:rsidRDefault="00C353F8"/>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3F8"/>
    <w:rsid w:val="005278F1"/>
    <w:rsid w:val="00C353F8"/>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EEB58-9E39-473F-BD82-0299ECDF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3F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353F8"/>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C353F8"/>
    <w:pPr>
      <w:spacing w:after="120"/>
    </w:pPr>
  </w:style>
  <w:style w:type="character" w:customStyle="1" w:styleId="TextoindependienteCar">
    <w:name w:val="Texto independiente Car"/>
    <w:basedOn w:val="Fuentedeprrafopredeter"/>
    <w:link w:val="Textoindependiente"/>
    <w:uiPriority w:val="99"/>
    <w:rsid w:val="00C353F8"/>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C353F8"/>
    <w:pPr>
      <w:spacing w:after="120"/>
      <w:ind w:left="283"/>
    </w:pPr>
  </w:style>
  <w:style w:type="character" w:customStyle="1" w:styleId="SangradetextonormalCar">
    <w:name w:val="Sangría de texto normal Car"/>
    <w:basedOn w:val="Fuentedeprrafopredeter"/>
    <w:link w:val="Sangradetextonormal"/>
    <w:rsid w:val="00C353F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C353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53F8"/>
    <w:rPr>
      <w:rFonts w:ascii="Times New Roman" w:eastAsia="Times New Roman" w:hAnsi="Times New Roman" w:cs="Times New Roman"/>
      <w:sz w:val="24"/>
      <w:szCs w:val="24"/>
      <w:lang w:eastAsia="es-ES"/>
    </w:rPr>
  </w:style>
  <w:style w:type="paragraph" w:customStyle="1" w:styleId="Normal0">
    <w:name w:val="[Normal]"/>
    <w:rsid w:val="00C353F8"/>
    <w:pPr>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2">
    <w:name w:val="Body Text 2"/>
    <w:basedOn w:val="Normal"/>
    <w:link w:val="Textoindependiente2Car"/>
    <w:uiPriority w:val="99"/>
    <w:semiHidden/>
    <w:unhideWhenUsed/>
    <w:rsid w:val="00C353F8"/>
    <w:pPr>
      <w:spacing w:after="120" w:line="480" w:lineRule="auto"/>
    </w:pPr>
  </w:style>
  <w:style w:type="character" w:customStyle="1" w:styleId="Textoindependiente2Car">
    <w:name w:val="Texto independiente 2 Car"/>
    <w:basedOn w:val="Fuentedeprrafopredeter"/>
    <w:link w:val="Textoindependiente2"/>
    <w:uiPriority w:val="99"/>
    <w:semiHidden/>
    <w:rsid w:val="00C353F8"/>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C353F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353F8"/>
    <w:rPr>
      <w:rFonts w:ascii="Times New Roman" w:eastAsia="Times New Roman" w:hAnsi="Times New Roman" w:cs="Times New Roman"/>
      <w:sz w:val="16"/>
      <w:szCs w:val="16"/>
      <w:lang w:eastAsia="es-ES"/>
    </w:rPr>
  </w:style>
  <w:style w:type="character" w:styleId="Textoennegrita">
    <w:name w:val="Strong"/>
    <w:qFormat/>
    <w:rsid w:val="00C353F8"/>
    <w:rPr>
      <w:b/>
      <w:bCs/>
    </w:rPr>
  </w:style>
  <w:style w:type="character" w:styleId="nfasis">
    <w:name w:val="Emphasis"/>
    <w:qFormat/>
    <w:rsid w:val="00C353F8"/>
    <w:rPr>
      <w:i/>
      <w:iCs/>
    </w:rPr>
  </w:style>
  <w:style w:type="paragraph" w:customStyle="1" w:styleId="TEXTO">
    <w:name w:val="TEXTO"/>
    <w:uiPriority w:val="99"/>
    <w:rsid w:val="00C353F8"/>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5258</Words>
  <Characters>28922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2018-10-31T19:05:00Z</dcterms:created>
  <dcterms:modified xsi:type="dcterms:W3CDTF">2018-10-31T19:06:00Z</dcterms:modified>
</cp:coreProperties>
</file>